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7C316" w14:textId="77777777" w:rsidR="00EC73D9" w:rsidRDefault="00EC73D9" w:rsidP="00EC73D9">
      <w:pPr>
        <w:pStyle w:val="Heading2"/>
        <w:jc w:val="center"/>
        <w:rPr>
          <w:b/>
          <w:szCs w:val="36"/>
        </w:rPr>
      </w:pPr>
      <w:bookmarkStart w:id="0" w:name="_GoBack"/>
      <w:bookmarkEnd w:id="0"/>
      <w:r>
        <w:rPr>
          <w:b/>
          <w:noProof/>
          <w:szCs w:val="36"/>
        </w:rPr>
        <w:drawing>
          <wp:inline distT="0" distB="0" distL="0" distR="0" wp14:anchorId="30AA0BB5" wp14:editId="068FDAA0">
            <wp:extent cx="1202055" cy="1168400"/>
            <wp:effectExtent l="25400" t="0" r="0" b="0"/>
            <wp:docPr id="1" name="Picture 1" descr="AV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TRA"/>
                    <pic:cNvPicPr>
                      <a:picLocks noChangeAspect="1" noChangeArrowheads="1"/>
                    </pic:cNvPicPr>
                  </pic:nvPicPr>
                  <pic:blipFill>
                    <a:blip r:embed="rId7"/>
                    <a:srcRect/>
                    <a:stretch>
                      <a:fillRect/>
                    </a:stretch>
                  </pic:blipFill>
                  <pic:spPr bwMode="auto">
                    <a:xfrm>
                      <a:off x="0" y="0"/>
                      <a:ext cx="1202055" cy="1168400"/>
                    </a:xfrm>
                    <a:prstGeom prst="rect">
                      <a:avLst/>
                    </a:prstGeom>
                    <a:noFill/>
                    <a:ln w="9525">
                      <a:noFill/>
                      <a:miter lim="800000"/>
                      <a:headEnd/>
                      <a:tailEnd/>
                    </a:ln>
                  </pic:spPr>
                </pic:pic>
              </a:graphicData>
            </a:graphic>
          </wp:inline>
        </w:drawing>
      </w:r>
    </w:p>
    <w:p w14:paraId="5003E2FB" w14:textId="77777777" w:rsidR="00EC73D9" w:rsidRDefault="00EC73D9" w:rsidP="00EC73D9">
      <w:pPr>
        <w:pStyle w:val="Text"/>
      </w:pPr>
    </w:p>
    <w:p w14:paraId="402795AB" w14:textId="77777777" w:rsidR="00EC73D9" w:rsidRPr="008B0C6E" w:rsidRDefault="00EC73D9" w:rsidP="00EC73D9">
      <w:pPr>
        <w:pStyle w:val="Text"/>
        <w:pBdr>
          <w:bottom w:val="single" w:sz="4" w:space="1" w:color="auto"/>
        </w:pBdr>
        <w:jc w:val="center"/>
        <w:rPr>
          <w:rFonts w:ascii="Verdana" w:hAnsi="Verdana"/>
          <w:b/>
          <w:sz w:val="52"/>
          <w:szCs w:val="52"/>
        </w:rPr>
      </w:pPr>
      <w:r>
        <w:rPr>
          <w:rFonts w:ascii="Verdana" w:hAnsi="Verdana"/>
          <w:b/>
          <w:sz w:val="52"/>
          <w:szCs w:val="52"/>
        </w:rPr>
        <w:t>Cover sheet for final paper</w:t>
      </w:r>
    </w:p>
    <w:p w14:paraId="49A59CD5" w14:textId="77777777" w:rsidR="00EC73D9" w:rsidRDefault="00EC73D9" w:rsidP="00EC73D9">
      <w:pPr>
        <w:pStyle w:val="Text"/>
        <w:pBdr>
          <w:bottom w:val="single" w:sz="4" w:space="1" w:color="auto"/>
        </w:pBdr>
        <w:jc w:val="center"/>
        <w:rPr>
          <w:rFonts w:ascii="Verdana" w:hAnsi="Verdana"/>
          <w:sz w:val="24"/>
          <w:szCs w:val="24"/>
        </w:rPr>
      </w:pPr>
      <w:r>
        <w:rPr>
          <w:rFonts w:ascii="Verdana" w:hAnsi="Verdana"/>
          <w:sz w:val="24"/>
          <w:szCs w:val="24"/>
        </w:rPr>
        <w:t>to be completed and submitted by the author with final paper to avetra@conferenceaction.com.au</w:t>
      </w:r>
    </w:p>
    <w:p w14:paraId="717E7DCE" w14:textId="77777777" w:rsidR="00EC73D9" w:rsidRDefault="00EC73D9" w:rsidP="00EC73D9">
      <w:pPr>
        <w:pStyle w:val="Text"/>
        <w:pBdr>
          <w:bottom w:val="single" w:sz="4" w:space="1" w:color="auto"/>
        </w:pBdr>
        <w:jc w:val="center"/>
        <w:rPr>
          <w:rFonts w:ascii="Verdana" w:hAnsi="Verdana"/>
          <w:b/>
          <w:sz w:val="32"/>
          <w:szCs w:val="32"/>
        </w:rPr>
      </w:pPr>
      <w:r>
        <w:rPr>
          <w:rFonts w:ascii="Verdana" w:hAnsi="Verdana"/>
          <w:b/>
          <w:sz w:val="32"/>
          <w:szCs w:val="32"/>
        </w:rPr>
        <w:t>2012 AVETRA Conference</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C73D9" w14:paraId="3AAF47A0" w14:textId="77777777" w:rsidTr="00FB69B7">
        <w:tc>
          <w:tcPr>
            <w:tcW w:w="9498" w:type="dxa"/>
          </w:tcPr>
          <w:p w14:paraId="1CAD2D4B" w14:textId="77777777" w:rsidR="00EC73D9" w:rsidRDefault="00EC73D9" w:rsidP="00EC73D9">
            <w:pPr>
              <w:spacing w:before="120"/>
              <w:outlineLvl w:val="1"/>
              <w:rPr>
                <w:rFonts w:ascii="Verdana" w:hAnsi="Verdana"/>
                <w:b/>
                <w:sz w:val="20"/>
              </w:rPr>
            </w:pPr>
            <w:r>
              <w:rPr>
                <w:rFonts w:ascii="Verdana" w:hAnsi="Verdana"/>
                <w:b/>
                <w:sz w:val="20"/>
              </w:rPr>
              <w:t xml:space="preserve">Name(s): John Pardy </w:t>
            </w:r>
          </w:p>
        </w:tc>
      </w:tr>
      <w:tr w:rsidR="00EC73D9" w14:paraId="61366F30" w14:textId="77777777" w:rsidTr="00FB69B7">
        <w:tc>
          <w:tcPr>
            <w:tcW w:w="9498" w:type="dxa"/>
          </w:tcPr>
          <w:p w14:paraId="715B937F" w14:textId="77777777" w:rsidR="00EC73D9" w:rsidRDefault="00EC73D9" w:rsidP="00EC73D9">
            <w:pPr>
              <w:spacing w:before="120"/>
              <w:outlineLvl w:val="1"/>
              <w:rPr>
                <w:rFonts w:ascii="Verdana" w:hAnsi="Verdana"/>
                <w:b/>
                <w:sz w:val="20"/>
              </w:rPr>
            </w:pPr>
            <w:r>
              <w:rPr>
                <w:rFonts w:ascii="Verdana" w:hAnsi="Verdana"/>
                <w:b/>
                <w:sz w:val="20"/>
              </w:rPr>
              <w:t xml:space="preserve">Position:Lecturer </w:t>
            </w:r>
          </w:p>
        </w:tc>
      </w:tr>
      <w:tr w:rsidR="00EC73D9" w14:paraId="42243F46" w14:textId="77777777" w:rsidTr="00FB69B7">
        <w:tc>
          <w:tcPr>
            <w:tcW w:w="9498" w:type="dxa"/>
          </w:tcPr>
          <w:p w14:paraId="00546E9D" w14:textId="77777777" w:rsidR="00EC73D9" w:rsidRDefault="00EC73D9" w:rsidP="00EC73D9">
            <w:pPr>
              <w:spacing w:before="120"/>
              <w:outlineLvl w:val="1"/>
              <w:rPr>
                <w:rFonts w:ascii="Verdana" w:hAnsi="Verdana"/>
                <w:b/>
                <w:sz w:val="20"/>
              </w:rPr>
            </w:pPr>
            <w:r>
              <w:rPr>
                <w:rFonts w:ascii="Verdana" w:hAnsi="Verdana"/>
                <w:b/>
                <w:sz w:val="20"/>
              </w:rPr>
              <w:t xml:space="preserve">Organisation:Monash University </w:t>
            </w:r>
          </w:p>
        </w:tc>
      </w:tr>
      <w:tr w:rsidR="00EC73D9" w14:paraId="18FBE594" w14:textId="77777777" w:rsidTr="00FB69B7">
        <w:tc>
          <w:tcPr>
            <w:tcW w:w="9498" w:type="dxa"/>
          </w:tcPr>
          <w:p w14:paraId="039C29CA" w14:textId="77777777" w:rsidR="00EC73D9" w:rsidRDefault="00EC73D9" w:rsidP="00EC73D9">
            <w:pPr>
              <w:spacing w:before="120"/>
              <w:outlineLvl w:val="1"/>
              <w:rPr>
                <w:rFonts w:ascii="Verdana" w:hAnsi="Verdana"/>
                <w:b/>
                <w:sz w:val="20"/>
              </w:rPr>
            </w:pPr>
            <w:r>
              <w:rPr>
                <w:rFonts w:ascii="Verdana" w:hAnsi="Verdana"/>
                <w:b/>
                <w:sz w:val="20"/>
              </w:rPr>
              <w:t>Contact details: Tel.    99052834                     Email:John.pardy@monash.edu</w:t>
            </w:r>
          </w:p>
        </w:tc>
      </w:tr>
      <w:tr w:rsidR="00EC73D9" w14:paraId="1874B5C9" w14:textId="77777777" w:rsidTr="00FB69B7">
        <w:tc>
          <w:tcPr>
            <w:tcW w:w="9498" w:type="dxa"/>
          </w:tcPr>
          <w:p w14:paraId="12A32547" w14:textId="77777777" w:rsidR="00EC73D9" w:rsidRDefault="00EC73D9">
            <w:pPr>
              <w:spacing w:before="120"/>
              <w:outlineLvl w:val="1"/>
              <w:rPr>
                <w:rFonts w:ascii="Verdana" w:hAnsi="Verdana"/>
                <w:b/>
                <w:sz w:val="20"/>
              </w:rPr>
            </w:pPr>
            <w:r>
              <w:rPr>
                <w:rFonts w:ascii="Verdana" w:hAnsi="Verdana"/>
                <w:b/>
                <w:sz w:val="20"/>
              </w:rPr>
              <w:t>Title of paper:</w:t>
            </w:r>
          </w:p>
          <w:p w14:paraId="17D9C559" w14:textId="77777777" w:rsidR="00EC73D9" w:rsidRDefault="00EC73D9">
            <w:pPr>
              <w:jc w:val="both"/>
              <w:rPr>
                <w:rFonts w:ascii="Verdana" w:hAnsi="Verdana"/>
                <w:b/>
                <w:szCs w:val="22"/>
              </w:rPr>
            </w:pPr>
            <w:r w:rsidRPr="00F15BF7">
              <w:rPr>
                <w:rFonts w:ascii="Arial" w:hAnsi="Arial" w:cs="Arial"/>
                <w:b/>
                <w:sz w:val="28"/>
                <w:szCs w:val="26"/>
              </w:rPr>
              <w:t>G</w:t>
            </w:r>
            <w:r>
              <w:rPr>
                <w:rFonts w:ascii="Arial" w:hAnsi="Arial" w:cs="Arial"/>
                <w:b/>
                <w:sz w:val="28"/>
                <w:szCs w:val="26"/>
              </w:rPr>
              <w:t>uaranteeing what in a contestable training market ?</w:t>
            </w:r>
          </w:p>
        </w:tc>
      </w:tr>
      <w:tr w:rsidR="00EC73D9" w14:paraId="3E22D50A" w14:textId="77777777" w:rsidTr="00FB69B7">
        <w:tc>
          <w:tcPr>
            <w:tcW w:w="9498" w:type="dxa"/>
          </w:tcPr>
          <w:p w14:paraId="506E9A50" w14:textId="77777777" w:rsidR="00EC73D9" w:rsidRDefault="00EC73D9">
            <w:pPr>
              <w:spacing w:before="120"/>
              <w:outlineLvl w:val="1"/>
              <w:rPr>
                <w:rFonts w:ascii="Verdana" w:hAnsi="Verdana"/>
                <w:b/>
                <w:sz w:val="20"/>
              </w:rPr>
            </w:pPr>
            <w:r>
              <w:rPr>
                <w:rFonts w:ascii="Verdana" w:hAnsi="Verdana"/>
                <w:b/>
                <w:sz w:val="20"/>
              </w:rPr>
              <w:t>Paper number: 65</w:t>
            </w:r>
          </w:p>
        </w:tc>
      </w:tr>
      <w:tr w:rsidR="00EC73D9" w14:paraId="3425C39C" w14:textId="77777777" w:rsidTr="00FB69B7">
        <w:tc>
          <w:tcPr>
            <w:tcW w:w="9498" w:type="dxa"/>
          </w:tcPr>
          <w:p w14:paraId="5953C2A3" w14:textId="77777777" w:rsidR="00EC73D9" w:rsidRDefault="00EC73D9">
            <w:pPr>
              <w:spacing w:before="120"/>
              <w:outlineLvl w:val="1"/>
              <w:rPr>
                <w:rFonts w:ascii="Verdana" w:hAnsi="Verdana"/>
                <w:b/>
                <w:sz w:val="20"/>
              </w:rPr>
            </w:pPr>
            <w:r>
              <w:rPr>
                <w:rFonts w:ascii="Verdana" w:hAnsi="Verdana"/>
                <w:b/>
                <w:sz w:val="20"/>
              </w:rPr>
              <w:t>Please indicate whether you wish this paper to be refereed.</w:t>
            </w:r>
          </w:p>
          <w:p w14:paraId="7D5ED787" w14:textId="77777777" w:rsidR="00EC73D9" w:rsidRDefault="00EC73D9">
            <w:pPr>
              <w:spacing w:before="120"/>
              <w:outlineLvl w:val="1"/>
              <w:rPr>
                <w:rFonts w:ascii="Verdana" w:hAnsi="Verdana"/>
                <w:sz w:val="20"/>
              </w:rPr>
            </w:pPr>
            <w:r>
              <w:rPr>
                <w:rFonts w:ascii="Verdana" w:hAnsi="Verdana"/>
                <w:b/>
                <w:sz w:val="20"/>
              </w:rPr>
              <w:t xml:space="preserve">                                                     I wish this paper to be refereed?</w:t>
            </w:r>
            <w:r>
              <w:rPr>
                <w:rFonts w:ascii="Verdana" w:hAnsi="Verdana"/>
                <w:sz w:val="20"/>
              </w:rPr>
              <w:t xml:space="preserve">   YES</w:t>
            </w:r>
          </w:p>
          <w:p w14:paraId="3A7F60F6" w14:textId="77777777" w:rsidR="00EC73D9" w:rsidRDefault="00EC73D9">
            <w:pPr>
              <w:spacing w:before="120"/>
              <w:outlineLvl w:val="1"/>
              <w:rPr>
                <w:rFonts w:ascii="Verdana" w:hAnsi="Verdana"/>
                <w:i/>
                <w:sz w:val="20"/>
              </w:rPr>
            </w:pPr>
            <w:r>
              <w:rPr>
                <w:rFonts w:ascii="Verdana" w:hAnsi="Verdana"/>
                <w:i/>
                <w:sz w:val="20"/>
              </w:rPr>
              <w:t>Full refereed paper to be submitted by Monday, 10 February 2012</w:t>
            </w:r>
          </w:p>
          <w:p w14:paraId="43B78E37" w14:textId="77777777" w:rsidR="00EC73D9" w:rsidRDefault="00EC73D9">
            <w:pPr>
              <w:spacing w:before="120"/>
              <w:outlineLvl w:val="1"/>
              <w:rPr>
                <w:rFonts w:ascii="Verdana" w:hAnsi="Verdana"/>
                <w:i/>
                <w:sz w:val="20"/>
              </w:rPr>
            </w:pPr>
            <w:r>
              <w:rPr>
                <w:rFonts w:ascii="Verdana" w:hAnsi="Verdana"/>
                <w:i/>
                <w:sz w:val="20"/>
              </w:rPr>
              <w:t>Full non refereed paper to be submitted by Monday, 9 March 2012</w:t>
            </w:r>
          </w:p>
          <w:p w14:paraId="73D7AD71" w14:textId="77777777" w:rsidR="00EC73D9" w:rsidRDefault="00EC73D9">
            <w:pPr>
              <w:spacing w:before="120"/>
              <w:outlineLvl w:val="1"/>
              <w:rPr>
                <w:rFonts w:ascii="Verdana" w:hAnsi="Verdana"/>
                <w:i/>
                <w:sz w:val="20"/>
              </w:rPr>
            </w:pPr>
          </w:p>
        </w:tc>
      </w:tr>
      <w:tr w:rsidR="00EC73D9" w14:paraId="24CAFF8F" w14:textId="77777777" w:rsidTr="00FB69B7">
        <w:tc>
          <w:tcPr>
            <w:tcW w:w="9498" w:type="dxa"/>
          </w:tcPr>
          <w:p w14:paraId="27CDFF61" w14:textId="77777777" w:rsidR="00EC73D9" w:rsidRDefault="00EC73D9" w:rsidP="00EC73D9">
            <w:pPr>
              <w:spacing w:before="120"/>
              <w:outlineLvl w:val="1"/>
              <w:rPr>
                <w:rFonts w:ascii="Verdana" w:hAnsi="Verdana"/>
                <w:b/>
                <w:sz w:val="20"/>
              </w:rPr>
            </w:pPr>
            <w:r>
              <w:rPr>
                <w:rFonts w:ascii="Verdana" w:hAnsi="Verdana"/>
                <w:b/>
                <w:sz w:val="20"/>
              </w:rPr>
              <w:t>Are you</w:t>
            </w:r>
            <w:r>
              <w:rPr>
                <w:rFonts w:ascii="Verdana" w:hAnsi="Verdana" w:cs="Tahoma"/>
                <w:b/>
                <w:sz w:val="20"/>
              </w:rPr>
              <w:t xml:space="preserve"> a new researcher, that is, within the first five years of your research career</w:t>
            </w:r>
            <w:r>
              <w:rPr>
                <w:rFonts w:ascii="Tahoma" w:hAnsi="Tahoma" w:cs="Tahoma"/>
                <w:sz w:val="16"/>
                <w:szCs w:val="16"/>
              </w:rPr>
              <w:t>?</w:t>
            </w:r>
            <w:r>
              <w:rPr>
                <w:rFonts w:ascii="Verdana" w:hAnsi="Verdana"/>
                <w:sz w:val="20"/>
              </w:rPr>
              <w:t xml:space="preserve">                                                                                YES</w:t>
            </w:r>
          </w:p>
        </w:tc>
      </w:tr>
      <w:tr w:rsidR="00EC73D9" w14:paraId="209E88AA" w14:textId="77777777" w:rsidTr="00FB69B7">
        <w:tc>
          <w:tcPr>
            <w:tcW w:w="9498" w:type="dxa"/>
          </w:tcPr>
          <w:p w14:paraId="1ABAEA31" w14:textId="77777777" w:rsidR="00EC73D9" w:rsidRPr="008B0C6E" w:rsidRDefault="00EC73D9">
            <w:pPr>
              <w:spacing w:before="120"/>
              <w:outlineLvl w:val="1"/>
              <w:rPr>
                <w:rFonts w:ascii="Verdana" w:hAnsi="Verdana"/>
                <w:sz w:val="20"/>
              </w:rPr>
            </w:pPr>
            <w:r w:rsidRPr="008B0C6E">
              <w:rPr>
                <w:rFonts w:ascii="Verdana" w:hAnsi="Verdana"/>
                <w:sz w:val="20"/>
              </w:rPr>
              <w:t>The AVETRA conference seeks to present and acknowledge high quality research within the field of vocational education and training. In keeping with this objective, the annual conference presents two awards in recognition of those peer reviewed papers judged to have made excellent contributions to the field of VET research. Those awards are:</w:t>
            </w:r>
          </w:p>
          <w:p w14:paraId="0FB71A18" w14:textId="77777777" w:rsidR="00EC73D9" w:rsidRDefault="00EC73D9">
            <w:pPr>
              <w:pStyle w:val="Heading9"/>
            </w:pPr>
            <w:r>
              <w:t>Best Paper in Conference</w:t>
            </w:r>
          </w:p>
          <w:p w14:paraId="7E70B859" w14:textId="77777777" w:rsidR="00EC73D9" w:rsidRDefault="00EC73D9">
            <w:pPr>
              <w:pStyle w:val="Heading9"/>
            </w:pPr>
            <w:r>
              <w:t>Early Career Researcher Award*</w:t>
            </w:r>
            <w:r>
              <w:br/>
            </w:r>
          </w:p>
          <w:p w14:paraId="455D1FEC" w14:textId="77777777" w:rsidR="00EC73D9" w:rsidRDefault="00EC73D9">
            <w:pPr>
              <w:pStyle w:val="Footer"/>
              <w:jc w:val="center"/>
              <w:rPr>
                <w:rFonts w:ascii="Verdana" w:hAnsi="Verdana"/>
              </w:rPr>
            </w:pPr>
            <w:r w:rsidRPr="008B0C6E">
              <w:rPr>
                <w:rFonts w:ascii="Verdana" w:hAnsi="Verdana"/>
                <w:sz w:val="20"/>
              </w:rPr>
              <w:t>All peer reviewed papers presented at the conference are considered for these awards</w:t>
            </w:r>
            <w:r>
              <w:rPr>
                <w:rFonts w:ascii="Verdana" w:hAnsi="Verdana"/>
              </w:rPr>
              <w:t>.</w:t>
            </w:r>
          </w:p>
        </w:tc>
      </w:tr>
    </w:tbl>
    <w:p w14:paraId="7CED92C2" w14:textId="77777777" w:rsidR="00EC73D9" w:rsidRDefault="00EC73D9" w:rsidP="00EC73D9">
      <w:pPr>
        <w:jc w:val="both"/>
      </w:pPr>
    </w:p>
    <w:p w14:paraId="412414BD" w14:textId="77777777" w:rsidR="00EC73D9" w:rsidRPr="008B0C6E" w:rsidRDefault="00EC73D9" w:rsidP="00EC73D9">
      <w:pPr>
        <w:ind w:left="-426" w:right="-567"/>
        <w:jc w:val="both"/>
        <w:rPr>
          <w:rFonts w:ascii="Verdana" w:hAnsi="Verdana"/>
          <w:sz w:val="20"/>
        </w:rPr>
      </w:pPr>
      <w:r w:rsidRPr="008B0C6E">
        <w:rPr>
          <w:rFonts w:ascii="Verdana" w:hAnsi="Verdana"/>
          <w:sz w:val="18"/>
        </w:rPr>
        <w:t xml:space="preserve">*AVETRA, with sponsorship from the </w:t>
      </w:r>
      <w:r w:rsidRPr="008B0C6E">
        <w:rPr>
          <w:rFonts w:ascii="Verdana" w:hAnsi="Verdana"/>
          <w:b/>
          <w:sz w:val="18"/>
        </w:rPr>
        <w:t xml:space="preserve">National Centre for Vocational Education Research </w:t>
      </w:r>
      <w:r w:rsidRPr="008B0C6E">
        <w:rPr>
          <w:rFonts w:ascii="Verdana" w:hAnsi="Verdana"/>
          <w:sz w:val="18"/>
        </w:rPr>
        <w:t>(NCVER), established this award to encourage early career VET researchers to present at the annual conference and become actively involved in the Association. Applicants must be a member of AVETRA, be able to attend the full conference and be willing to present a conference paper or interactive session based on their research as scheduled.  Employees of NCVER are not eligible for this Award</w:t>
      </w:r>
      <w:r w:rsidRPr="008B0C6E">
        <w:rPr>
          <w:rFonts w:ascii="Verdana" w:hAnsi="Verdana"/>
          <w:sz w:val="20"/>
        </w:rPr>
        <w:t>.</w:t>
      </w:r>
    </w:p>
    <w:p w14:paraId="203C5EAB" w14:textId="77777777" w:rsidR="00504970" w:rsidRPr="00F15BF7" w:rsidRDefault="00EC73D9">
      <w:pPr>
        <w:rPr>
          <w:rFonts w:ascii="Arial" w:hAnsi="Arial" w:cs="Arial"/>
          <w:sz w:val="28"/>
          <w:szCs w:val="26"/>
        </w:rPr>
      </w:pPr>
      <w:r>
        <w:rPr>
          <w:rFonts w:ascii="Arial" w:hAnsi="Arial" w:cs="Arial"/>
          <w:b/>
          <w:sz w:val="28"/>
          <w:szCs w:val="26"/>
        </w:rPr>
        <w:br w:type="page"/>
      </w:r>
      <w:r w:rsidR="00504970" w:rsidRPr="00F15BF7">
        <w:rPr>
          <w:rFonts w:ascii="Arial" w:hAnsi="Arial" w:cs="Arial"/>
          <w:b/>
          <w:sz w:val="28"/>
          <w:szCs w:val="26"/>
        </w:rPr>
        <w:lastRenderedPageBreak/>
        <w:t>G</w:t>
      </w:r>
      <w:r w:rsidR="00F15BF7">
        <w:rPr>
          <w:rFonts w:ascii="Arial" w:hAnsi="Arial" w:cs="Arial"/>
          <w:b/>
          <w:sz w:val="28"/>
          <w:szCs w:val="26"/>
        </w:rPr>
        <w:t xml:space="preserve">uaranteeing what in a contestable training market ? </w:t>
      </w:r>
      <w:r w:rsidR="00504970" w:rsidRPr="00F15BF7">
        <w:rPr>
          <w:rFonts w:ascii="Arial" w:hAnsi="Arial" w:cs="Arial"/>
          <w:sz w:val="28"/>
          <w:szCs w:val="26"/>
        </w:rPr>
        <w:t> </w:t>
      </w:r>
    </w:p>
    <w:p w14:paraId="47088EF4" w14:textId="77777777" w:rsidR="00F15BF7" w:rsidRDefault="00F15BF7">
      <w:pPr>
        <w:rPr>
          <w:rFonts w:ascii="Arial" w:hAnsi="Arial" w:cs="Arial"/>
          <w:sz w:val="20"/>
          <w:szCs w:val="26"/>
        </w:rPr>
      </w:pPr>
    </w:p>
    <w:p w14:paraId="2E60EF66" w14:textId="77777777" w:rsidR="00760A7F" w:rsidRDefault="00760A7F">
      <w:pPr>
        <w:rPr>
          <w:rFonts w:asciiTheme="majorHAnsi" w:hAnsiTheme="majorHAnsi" w:cs="Arial"/>
          <w:sz w:val="28"/>
          <w:szCs w:val="26"/>
        </w:rPr>
      </w:pPr>
    </w:p>
    <w:p w14:paraId="57CCDDD7" w14:textId="77777777" w:rsidR="00504970" w:rsidRPr="00D577E1" w:rsidRDefault="00F15BF7">
      <w:pPr>
        <w:rPr>
          <w:rFonts w:asciiTheme="majorHAnsi" w:hAnsiTheme="majorHAnsi" w:cs="Arial"/>
          <w:sz w:val="28"/>
          <w:szCs w:val="26"/>
        </w:rPr>
      </w:pPr>
      <w:r w:rsidRPr="00D577E1">
        <w:rPr>
          <w:rFonts w:asciiTheme="majorHAnsi" w:hAnsiTheme="majorHAnsi" w:cs="Arial"/>
          <w:sz w:val="28"/>
          <w:szCs w:val="26"/>
        </w:rPr>
        <w:t xml:space="preserve">Abstract </w:t>
      </w:r>
    </w:p>
    <w:p w14:paraId="69676D60" w14:textId="77777777" w:rsidR="00F15BF7" w:rsidRPr="00D577E1" w:rsidRDefault="00504970" w:rsidP="004F40D4">
      <w:pPr>
        <w:jc w:val="both"/>
        <w:rPr>
          <w:rFonts w:asciiTheme="majorHAnsi" w:hAnsiTheme="majorHAnsi" w:cs="Arial"/>
          <w:szCs w:val="26"/>
        </w:rPr>
      </w:pPr>
      <w:r w:rsidRPr="00D577E1">
        <w:rPr>
          <w:rFonts w:asciiTheme="majorHAnsi" w:hAnsiTheme="majorHAnsi" w:cs="Arial"/>
          <w:szCs w:val="26"/>
        </w:rPr>
        <w:t xml:space="preserve">The Victorian Government introduced the Victorian Training Guarantee (VTG) as a key policy </w:t>
      </w:r>
      <w:r w:rsidR="00221053">
        <w:rPr>
          <w:rFonts w:asciiTheme="majorHAnsi" w:hAnsiTheme="majorHAnsi" w:cs="Arial"/>
          <w:szCs w:val="26"/>
        </w:rPr>
        <w:t xml:space="preserve">reform </w:t>
      </w:r>
      <w:r w:rsidR="0045291A">
        <w:rPr>
          <w:rFonts w:asciiTheme="majorHAnsi" w:hAnsiTheme="majorHAnsi" w:cs="Arial"/>
          <w:szCs w:val="26"/>
        </w:rPr>
        <w:t xml:space="preserve">to reorganize </w:t>
      </w:r>
      <w:r w:rsidRPr="00D577E1">
        <w:rPr>
          <w:rFonts w:asciiTheme="majorHAnsi" w:hAnsiTheme="majorHAnsi" w:cs="Arial"/>
          <w:szCs w:val="26"/>
        </w:rPr>
        <w:t xml:space="preserve">VET provision in 2008. Since then the evolution of a training market has been shaped by the shift from a ‘purchaser-provider’ arrangement to a fully ‘contestable’ open market regime. These changes are having far reaching impacts on VET in terms of provision and student experiences. These changes have brought a shift in emphasis </w:t>
      </w:r>
      <w:r w:rsidR="0045291A">
        <w:rPr>
          <w:rFonts w:asciiTheme="majorHAnsi" w:hAnsiTheme="majorHAnsi" w:cs="Arial"/>
          <w:szCs w:val="26"/>
        </w:rPr>
        <w:t xml:space="preserve">with </w:t>
      </w:r>
      <w:r w:rsidRPr="00D577E1">
        <w:rPr>
          <w:rFonts w:asciiTheme="majorHAnsi" w:hAnsiTheme="majorHAnsi" w:cs="Arial"/>
          <w:szCs w:val="26"/>
        </w:rPr>
        <w:t xml:space="preserve">students </w:t>
      </w:r>
      <w:r w:rsidR="0045291A">
        <w:rPr>
          <w:rFonts w:asciiTheme="majorHAnsi" w:hAnsiTheme="majorHAnsi" w:cs="Arial"/>
          <w:szCs w:val="26"/>
        </w:rPr>
        <w:t xml:space="preserve">positioned </w:t>
      </w:r>
      <w:r w:rsidR="009D3F35" w:rsidRPr="00D577E1">
        <w:rPr>
          <w:rFonts w:asciiTheme="majorHAnsi" w:hAnsiTheme="majorHAnsi" w:cs="Arial"/>
          <w:szCs w:val="26"/>
        </w:rPr>
        <w:t>as consumers and with providers</w:t>
      </w:r>
      <w:r w:rsidRPr="00D577E1">
        <w:rPr>
          <w:rFonts w:asciiTheme="majorHAnsi" w:hAnsiTheme="majorHAnsi" w:cs="Arial"/>
          <w:szCs w:val="26"/>
        </w:rPr>
        <w:t xml:space="preserve"> (public and or private) being treated </w:t>
      </w:r>
      <w:r w:rsidR="00330656">
        <w:rPr>
          <w:rFonts w:asciiTheme="majorHAnsi" w:hAnsiTheme="majorHAnsi" w:cs="Arial"/>
          <w:szCs w:val="26"/>
        </w:rPr>
        <w:t xml:space="preserve">uniformly </w:t>
      </w:r>
      <w:r w:rsidRPr="00D577E1">
        <w:rPr>
          <w:rFonts w:asciiTheme="majorHAnsi" w:hAnsiTheme="majorHAnsi" w:cs="Arial"/>
          <w:szCs w:val="26"/>
        </w:rPr>
        <w:t>as market entities.  </w:t>
      </w:r>
    </w:p>
    <w:p w14:paraId="3FDBE7C6" w14:textId="77777777" w:rsidR="00504970" w:rsidRPr="00D577E1" w:rsidRDefault="00504970" w:rsidP="004F40D4">
      <w:pPr>
        <w:jc w:val="both"/>
        <w:rPr>
          <w:rFonts w:asciiTheme="majorHAnsi" w:hAnsiTheme="majorHAnsi" w:cs="Arial"/>
          <w:szCs w:val="26"/>
        </w:rPr>
      </w:pPr>
      <w:r w:rsidRPr="00D577E1">
        <w:rPr>
          <w:rFonts w:asciiTheme="majorHAnsi" w:hAnsiTheme="majorHAnsi" w:cs="Arial"/>
          <w:szCs w:val="26"/>
        </w:rPr>
        <w:t> </w:t>
      </w:r>
    </w:p>
    <w:p w14:paraId="72575FFB" w14:textId="77777777" w:rsidR="00330656" w:rsidRDefault="00504970" w:rsidP="004F40D4">
      <w:pPr>
        <w:jc w:val="both"/>
        <w:rPr>
          <w:rFonts w:asciiTheme="majorHAnsi" w:hAnsiTheme="majorHAnsi" w:cs="Arial"/>
          <w:szCs w:val="26"/>
        </w:rPr>
      </w:pPr>
      <w:r w:rsidRPr="00D577E1">
        <w:rPr>
          <w:rFonts w:asciiTheme="majorHAnsi" w:hAnsiTheme="majorHAnsi" w:cs="Arial"/>
          <w:szCs w:val="26"/>
        </w:rPr>
        <w:t>This paper draws upon submissions to the recent (2011) Essential Services Commission, VET Fee and Funding Review to consider the impact of market approaches to the Victorian VET sector. Many of the submissions made to the review highlighted the costs of a fully ‘contestable training market’.</w:t>
      </w:r>
      <w:r w:rsidR="00EC73D9">
        <w:rPr>
          <w:rFonts w:asciiTheme="majorHAnsi" w:hAnsiTheme="majorHAnsi" w:cs="Arial"/>
          <w:szCs w:val="26"/>
        </w:rPr>
        <w:t xml:space="preserve"> </w:t>
      </w:r>
      <w:r w:rsidRPr="00D577E1">
        <w:rPr>
          <w:rFonts w:asciiTheme="majorHAnsi" w:hAnsiTheme="majorHAnsi" w:cs="Arial"/>
          <w:szCs w:val="26"/>
        </w:rPr>
        <w:t>Of the sixty-three submissions to the review</w:t>
      </w:r>
      <w:r w:rsidR="00221053">
        <w:rPr>
          <w:rFonts w:asciiTheme="majorHAnsi" w:hAnsiTheme="majorHAnsi" w:cs="Arial"/>
          <w:szCs w:val="26"/>
        </w:rPr>
        <w:t>,</w:t>
      </w:r>
      <w:r w:rsidRPr="00D577E1">
        <w:rPr>
          <w:rFonts w:asciiTheme="majorHAnsi" w:hAnsiTheme="majorHAnsi" w:cs="Arial"/>
          <w:szCs w:val="26"/>
        </w:rPr>
        <w:t xml:space="preserve"> </w:t>
      </w:r>
      <w:r w:rsidR="00330656" w:rsidRPr="00D577E1">
        <w:rPr>
          <w:rFonts w:asciiTheme="majorHAnsi" w:hAnsiTheme="majorHAnsi" w:cs="Arial"/>
          <w:szCs w:val="26"/>
        </w:rPr>
        <w:t>Registered Training Organisations and their representative bodies made thirty-five</w:t>
      </w:r>
      <w:r w:rsidRPr="00D577E1">
        <w:rPr>
          <w:rFonts w:asciiTheme="majorHAnsi" w:hAnsiTheme="majorHAnsi" w:cs="Arial"/>
          <w:szCs w:val="26"/>
        </w:rPr>
        <w:t xml:space="preserve">. In these submissions it was consistently maintained that the VTG represented a significant disadvantage to </w:t>
      </w:r>
      <w:r w:rsidR="0045291A">
        <w:rPr>
          <w:rFonts w:asciiTheme="majorHAnsi" w:hAnsiTheme="majorHAnsi" w:cs="Arial"/>
          <w:szCs w:val="26"/>
        </w:rPr>
        <w:t xml:space="preserve">current and prospective </w:t>
      </w:r>
      <w:r w:rsidRPr="00D577E1">
        <w:rPr>
          <w:rFonts w:asciiTheme="majorHAnsi" w:hAnsiTheme="majorHAnsi" w:cs="Arial"/>
          <w:szCs w:val="26"/>
        </w:rPr>
        <w:t xml:space="preserve">students. Submissions by students poignantly illustrated and provided examples of the nature and character of </w:t>
      </w:r>
      <w:r w:rsidR="0045291A">
        <w:rPr>
          <w:rFonts w:asciiTheme="majorHAnsi" w:hAnsiTheme="majorHAnsi" w:cs="Arial"/>
          <w:szCs w:val="26"/>
        </w:rPr>
        <w:t xml:space="preserve">the </w:t>
      </w:r>
      <w:r w:rsidRPr="00D577E1">
        <w:rPr>
          <w:rFonts w:asciiTheme="majorHAnsi" w:hAnsiTheme="majorHAnsi" w:cs="Arial"/>
          <w:szCs w:val="26"/>
        </w:rPr>
        <w:t>unintended inequities in this brave new mar</w:t>
      </w:r>
      <w:r w:rsidR="00330656">
        <w:rPr>
          <w:rFonts w:asciiTheme="majorHAnsi" w:hAnsiTheme="majorHAnsi" w:cs="Arial"/>
          <w:szCs w:val="26"/>
        </w:rPr>
        <w:t>ket context.</w:t>
      </w:r>
    </w:p>
    <w:p w14:paraId="1D0A2436" w14:textId="77777777" w:rsidR="00330656" w:rsidRDefault="00330656" w:rsidP="004F40D4">
      <w:pPr>
        <w:jc w:val="both"/>
        <w:rPr>
          <w:rFonts w:asciiTheme="majorHAnsi" w:hAnsiTheme="majorHAnsi" w:cs="Arial"/>
          <w:szCs w:val="26"/>
        </w:rPr>
      </w:pPr>
    </w:p>
    <w:p w14:paraId="291BE131" w14:textId="77777777" w:rsidR="00504970" w:rsidRPr="00D577E1" w:rsidRDefault="00330656" w:rsidP="00C03392">
      <w:pPr>
        <w:jc w:val="both"/>
        <w:rPr>
          <w:rFonts w:asciiTheme="majorHAnsi" w:hAnsiTheme="majorHAnsi" w:cs="Arial"/>
          <w:szCs w:val="26"/>
        </w:rPr>
      </w:pPr>
      <w:r>
        <w:rPr>
          <w:rFonts w:asciiTheme="majorHAnsi" w:hAnsiTheme="majorHAnsi" w:cs="Arial"/>
          <w:szCs w:val="26"/>
        </w:rPr>
        <w:t xml:space="preserve">This </w:t>
      </w:r>
      <w:r w:rsidR="00504970" w:rsidRPr="00D577E1">
        <w:rPr>
          <w:rFonts w:asciiTheme="majorHAnsi" w:hAnsiTheme="majorHAnsi" w:cs="Arial"/>
          <w:szCs w:val="26"/>
        </w:rPr>
        <w:t xml:space="preserve">paper argues that consumer protections are urgently needed to ensure more equitable </w:t>
      </w:r>
      <w:r>
        <w:rPr>
          <w:rFonts w:asciiTheme="majorHAnsi" w:hAnsiTheme="majorHAnsi" w:cs="Arial"/>
          <w:szCs w:val="26"/>
        </w:rPr>
        <w:t xml:space="preserve">approaches to VET provision.  In order to achieve </w:t>
      </w:r>
      <w:r w:rsidR="00504970" w:rsidRPr="00D577E1">
        <w:rPr>
          <w:rFonts w:asciiTheme="majorHAnsi" w:hAnsiTheme="majorHAnsi" w:cs="Arial"/>
          <w:szCs w:val="26"/>
        </w:rPr>
        <w:t> </w:t>
      </w:r>
      <w:r>
        <w:rPr>
          <w:rFonts w:asciiTheme="majorHAnsi" w:hAnsiTheme="majorHAnsi" w:cs="Arial"/>
          <w:szCs w:val="26"/>
        </w:rPr>
        <w:t xml:space="preserve">improved </w:t>
      </w:r>
      <w:r w:rsidR="00504970" w:rsidRPr="00D577E1">
        <w:rPr>
          <w:rFonts w:asciiTheme="majorHAnsi" w:hAnsiTheme="majorHAnsi" w:cs="Arial"/>
          <w:szCs w:val="26"/>
        </w:rPr>
        <w:t>consumer protections</w:t>
      </w:r>
      <w:r w:rsidR="00221053">
        <w:rPr>
          <w:rFonts w:asciiTheme="majorHAnsi" w:hAnsiTheme="majorHAnsi" w:cs="Arial"/>
          <w:szCs w:val="26"/>
        </w:rPr>
        <w:t>,</w:t>
      </w:r>
      <w:r w:rsidR="00504970" w:rsidRPr="00D577E1">
        <w:rPr>
          <w:rFonts w:asciiTheme="majorHAnsi" w:hAnsiTheme="majorHAnsi" w:cs="Arial"/>
          <w:szCs w:val="26"/>
        </w:rPr>
        <w:t xml:space="preserve"> </w:t>
      </w:r>
      <w:r>
        <w:rPr>
          <w:rFonts w:asciiTheme="majorHAnsi" w:hAnsiTheme="majorHAnsi" w:cs="Arial"/>
          <w:szCs w:val="26"/>
        </w:rPr>
        <w:t xml:space="preserve">the paper will argue that cooperation </w:t>
      </w:r>
      <w:r w:rsidR="00C03392">
        <w:rPr>
          <w:rFonts w:asciiTheme="majorHAnsi" w:hAnsiTheme="majorHAnsi" w:cs="Arial"/>
          <w:szCs w:val="26"/>
        </w:rPr>
        <w:t>as a core principle is important</w:t>
      </w:r>
      <w:r w:rsidR="0045291A">
        <w:rPr>
          <w:rFonts w:asciiTheme="majorHAnsi" w:hAnsiTheme="majorHAnsi" w:cs="Arial"/>
          <w:szCs w:val="26"/>
        </w:rPr>
        <w:t>. F</w:t>
      </w:r>
      <w:r w:rsidR="00C03392">
        <w:rPr>
          <w:rFonts w:asciiTheme="majorHAnsi" w:hAnsiTheme="majorHAnsi" w:cs="Arial"/>
          <w:szCs w:val="26"/>
        </w:rPr>
        <w:t>or a</w:t>
      </w:r>
      <w:r w:rsidR="00504970" w:rsidRPr="00D577E1">
        <w:rPr>
          <w:rFonts w:asciiTheme="majorHAnsi" w:hAnsiTheme="majorHAnsi" w:cs="Arial"/>
          <w:szCs w:val="26"/>
        </w:rPr>
        <w:t xml:space="preserve"> training market </w:t>
      </w:r>
      <w:r w:rsidR="00C03392">
        <w:rPr>
          <w:rFonts w:asciiTheme="majorHAnsi" w:hAnsiTheme="majorHAnsi" w:cs="Arial"/>
          <w:szCs w:val="26"/>
        </w:rPr>
        <w:t xml:space="preserve">to </w:t>
      </w:r>
      <w:r w:rsidR="00504970" w:rsidRPr="00D577E1">
        <w:rPr>
          <w:rFonts w:asciiTheme="majorHAnsi" w:hAnsiTheme="majorHAnsi" w:cs="Arial"/>
          <w:szCs w:val="26"/>
        </w:rPr>
        <w:t>imply guarantee</w:t>
      </w:r>
      <w:r w:rsidR="00C03392">
        <w:rPr>
          <w:rFonts w:asciiTheme="majorHAnsi" w:hAnsiTheme="majorHAnsi" w:cs="Arial"/>
          <w:szCs w:val="26"/>
        </w:rPr>
        <w:t>s</w:t>
      </w:r>
      <w:r w:rsidR="00504970" w:rsidRPr="00D577E1">
        <w:rPr>
          <w:rFonts w:asciiTheme="majorHAnsi" w:hAnsiTheme="majorHAnsi" w:cs="Arial"/>
          <w:szCs w:val="26"/>
        </w:rPr>
        <w:t xml:space="preserve"> </w:t>
      </w:r>
      <w:r w:rsidR="0045291A">
        <w:rPr>
          <w:rFonts w:asciiTheme="majorHAnsi" w:hAnsiTheme="majorHAnsi" w:cs="Arial"/>
          <w:szCs w:val="26"/>
        </w:rPr>
        <w:t xml:space="preserve">and be </w:t>
      </w:r>
      <w:r w:rsidR="00504970" w:rsidRPr="00D577E1">
        <w:rPr>
          <w:rFonts w:asciiTheme="majorHAnsi" w:hAnsiTheme="majorHAnsi" w:cs="Arial"/>
          <w:szCs w:val="26"/>
        </w:rPr>
        <w:t xml:space="preserve">premised upon a robust assurance of quality </w:t>
      </w:r>
      <w:r w:rsidR="0045291A">
        <w:rPr>
          <w:rFonts w:asciiTheme="majorHAnsi" w:hAnsiTheme="majorHAnsi" w:cs="Arial"/>
          <w:szCs w:val="26"/>
        </w:rPr>
        <w:t xml:space="preserve">education this will only occur when a </w:t>
      </w:r>
      <w:r w:rsidR="00504970" w:rsidRPr="00D577E1">
        <w:rPr>
          <w:rFonts w:asciiTheme="majorHAnsi" w:hAnsiTheme="majorHAnsi" w:cs="Arial"/>
          <w:szCs w:val="26"/>
        </w:rPr>
        <w:t xml:space="preserve">contestable </w:t>
      </w:r>
      <w:r w:rsidR="0045291A">
        <w:rPr>
          <w:rFonts w:asciiTheme="majorHAnsi" w:hAnsiTheme="majorHAnsi" w:cs="Arial"/>
          <w:szCs w:val="26"/>
        </w:rPr>
        <w:t>market is arranged through a principle of cooperation</w:t>
      </w:r>
      <w:r w:rsidR="00504970" w:rsidRPr="00D577E1">
        <w:rPr>
          <w:rFonts w:asciiTheme="majorHAnsi" w:hAnsiTheme="majorHAnsi" w:cs="Arial"/>
          <w:szCs w:val="26"/>
        </w:rPr>
        <w:t>.</w:t>
      </w:r>
    </w:p>
    <w:p w14:paraId="2D9AE9C5" w14:textId="77777777" w:rsidR="00504970" w:rsidRDefault="00504970" w:rsidP="00C03392">
      <w:pPr>
        <w:ind w:firstLine="720"/>
        <w:jc w:val="both"/>
        <w:rPr>
          <w:rFonts w:ascii="Times New Roman" w:hAnsi="Times New Roman" w:cs="Arial"/>
          <w:sz w:val="22"/>
          <w:szCs w:val="26"/>
        </w:rPr>
      </w:pPr>
    </w:p>
    <w:p w14:paraId="2B0703A8" w14:textId="77777777" w:rsidR="00504970" w:rsidRPr="003A2D22" w:rsidRDefault="00504970" w:rsidP="00C03392">
      <w:pPr>
        <w:jc w:val="both"/>
        <w:rPr>
          <w:rFonts w:asciiTheme="majorHAnsi" w:hAnsiTheme="majorHAnsi" w:cs="Arial"/>
          <w:sz w:val="28"/>
          <w:szCs w:val="26"/>
        </w:rPr>
      </w:pPr>
      <w:r w:rsidRPr="00AD4D09">
        <w:rPr>
          <w:rFonts w:asciiTheme="majorHAnsi" w:hAnsiTheme="majorHAnsi" w:cs="Arial"/>
          <w:sz w:val="28"/>
          <w:szCs w:val="26"/>
        </w:rPr>
        <w:t>Introduction</w:t>
      </w:r>
    </w:p>
    <w:p w14:paraId="47241CBF" w14:textId="77777777" w:rsidR="00FB69B7" w:rsidRDefault="00504970" w:rsidP="00C65BC9">
      <w:pPr>
        <w:jc w:val="both"/>
        <w:rPr>
          <w:rFonts w:asciiTheme="majorHAnsi" w:hAnsiTheme="majorHAnsi" w:cs="Arial"/>
          <w:szCs w:val="26"/>
        </w:rPr>
      </w:pPr>
      <w:r w:rsidRPr="009578E0">
        <w:rPr>
          <w:rFonts w:asciiTheme="majorHAnsi" w:hAnsiTheme="majorHAnsi" w:cs="Arial"/>
          <w:szCs w:val="26"/>
        </w:rPr>
        <w:t>As part of its election commitments the Ba</w:t>
      </w:r>
      <w:r w:rsidR="00415483" w:rsidRPr="009578E0">
        <w:rPr>
          <w:rFonts w:asciiTheme="majorHAnsi" w:hAnsiTheme="majorHAnsi" w:cs="Arial"/>
          <w:szCs w:val="26"/>
        </w:rPr>
        <w:t>i</w:t>
      </w:r>
      <w:r w:rsidRPr="009578E0">
        <w:rPr>
          <w:rFonts w:asciiTheme="majorHAnsi" w:hAnsiTheme="majorHAnsi" w:cs="Arial"/>
          <w:szCs w:val="26"/>
        </w:rPr>
        <w:t>l</w:t>
      </w:r>
      <w:r w:rsidR="00415483" w:rsidRPr="009578E0">
        <w:rPr>
          <w:rFonts w:asciiTheme="majorHAnsi" w:hAnsiTheme="majorHAnsi" w:cs="Arial"/>
          <w:szCs w:val="26"/>
        </w:rPr>
        <w:t>l</w:t>
      </w:r>
      <w:r w:rsidRPr="009578E0">
        <w:rPr>
          <w:rFonts w:asciiTheme="majorHAnsi" w:hAnsiTheme="majorHAnsi" w:cs="Arial"/>
          <w:szCs w:val="26"/>
        </w:rPr>
        <w:t xml:space="preserve">ieu </w:t>
      </w:r>
      <w:r w:rsidR="00D06BC7" w:rsidRPr="009578E0">
        <w:rPr>
          <w:rFonts w:asciiTheme="majorHAnsi" w:hAnsiTheme="majorHAnsi" w:cs="Arial"/>
          <w:szCs w:val="26"/>
        </w:rPr>
        <w:t>L</w:t>
      </w:r>
      <w:r w:rsidR="00415483" w:rsidRPr="009578E0">
        <w:rPr>
          <w:rFonts w:asciiTheme="majorHAnsi" w:hAnsiTheme="majorHAnsi" w:cs="Arial"/>
          <w:szCs w:val="26"/>
        </w:rPr>
        <w:t>iberal</w:t>
      </w:r>
      <w:r w:rsidR="00D06BC7" w:rsidRPr="009578E0">
        <w:rPr>
          <w:rFonts w:asciiTheme="majorHAnsi" w:hAnsiTheme="majorHAnsi" w:cs="Arial"/>
          <w:szCs w:val="26"/>
        </w:rPr>
        <w:t xml:space="preserve"> coalition promised a review of VET fees. This was done </w:t>
      </w:r>
      <w:r w:rsidR="00FB69B7">
        <w:rPr>
          <w:rFonts w:asciiTheme="majorHAnsi" w:hAnsiTheme="majorHAnsi" w:cs="Arial"/>
          <w:szCs w:val="26"/>
        </w:rPr>
        <w:t xml:space="preserve">in order to consider the impacts of the </w:t>
      </w:r>
      <w:r w:rsidR="00D06BC7" w:rsidRPr="009578E0">
        <w:rPr>
          <w:rFonts w:asciiTheme="majorHAnsi" w:hAnsiTheme="majorHAnsi" w:cs="Arial"/>
          <w:szCs w:val="26"/>
        </w:rPr>
        <w:t xml:space="preserve">introduction of the Victorian Training </w:t>
      </w:r>
      <w:r w:rsidR="009D3F35" w:rsidRPr="009578E0">
        <w:rPr>
          <w:rFonts w:asciiTheme="majorHAnsi" w:hAnsiTheme="majorHAnsi" w:cs="Arial"/>
          <w:szCs w:val="26"/>
        </w:rPr>
        <w:t>Guarantee</w:t>
      </w:r>
      <w:r w:rsidR="00FB69B7">
        <w:rPr>
          <w:rFonts w:asciiTheme="majorHAnsi" w:hAnsiTheme="majorHAnsi" w:cs="Arial"/>
          <w:szCs w:val="26"/>
        </w:rPr>
        <w:t xml:space="preserve"> (VETG). The VTG </w:t>
      </w:r>
      <w:r w:rsidR="00D06BC7" w:rsidRPr="009578E0">
        <w:rPr>
          <w:rFonts w:asciiTheme="majorHAnsi" w:hAnsiTheme="majorHAnsi" w:cs="Arial"/>
          <w:szCs w:val="26"/>
        </w:rPr>
        <w:t xml:space="preserve">enshrined a </w:t>
      </w:r>
      <w:r w:rsidR="00A428B7">
        <w:rPr>
          <w:rFonts w:asciiTheme="majorHAnsi" w:hAnsiTheme="majorHAnsi" w:cs="Arial"/>
          <w:szCs w:val="26"/>
        </w:rPr>
        <w:t xml:space="preserve">tiered </w:t>
      </w:r>
      <w:r w:rsidR="00D06BC7" w:rsidRPr="009578E0">
        <w:rPr>
          <w:rFonts w:asciiTheme="majorHAnsi" w:hAnsiTheme="majorHAnsi" w:cs="Arial"/>
          <w:szCs w:val="26"/>
        </w:rPr>
        <w:t xml:space="preserve">fee structure for VET </w:t>
      </w:r>
      <w:r w:rsidR="00F15BF7">
        <w:rPr>
          <w:rFonts w:asciiTheme="majorHAnsi" w:hAnsiTheme="majorHAnsi" w:cs="Arial"/>
          <w:szCs w:val="26"/>
        </w:rPr>
        <w:t xml:space="preserve">provision </w:t>
      </w:r>
      <w:r w:rsidR="00D06BC7" w:rsidRPr="009578E0">
        <w:rPr>
          <w:rFonts w:asciiTheme="majorHAnsi" w:hAnsiTheme="majorHAnsi" w:cs="Arial"/>
          <w:szCs w:val="26"/>
        </w:rPr>
        <w:t xml:space="preserve">in the State. </w:t>
      </w:r>
      <w:r w:rsidR="00FB69B7">
        <w:rPr>
          <w:rFonts w:asciiTheme="majorHAnsi" w:hAnsiTheme="majorHAnsi" w:cs="Arial"/>
          <w:szCs w:val="26"/>
        </w:rPr>
        <w:t xml:space="preserve">The </w:t>
      </w:r>
      <w:r w:rsidR="00221053">
        <w:rPr>
          <w:rFonts w:asciiTheme="majorHAnsi" w:hAnsiTheme="majorHAnsi" w:cs="Arial"/>
          <w:szCs w:val="26"/>
        </w:rPr>
        <w:t xml:space="preserve">review was </w:t>
      </w:r>
      <w:r w:rsidR="00D06BC7" w:rsidRPr="009578E0">
        <w:rPr>
          <w:rFonts w:asciiTheme="majorHAnsi" w:hAnsiTheme="majorHAnsi" w:cs="Arial"/>
          <w:szCs w:val="26"/>
        </w:rPr>
        <w:t xml:space="preserve">conducted by the Essential Services Commission </w:t>
      </w:r>
      <w:r w:rsidR="00A428B7">
        <w:rPr>
          <w:rFonts w:asciiTheme="majorHAnsi" w:hAnsiTheme="majorHAnsi" w:cs="Arial"/>
          <w:szCs w:val="26"/>
        </w:rPr>
        <w:t xml:space="preserve">and was known </w:t>
      </w:r>
      <w:r w:rsidR="00D06BC7" w:rsidRPr="009578E0">
        <w:rPr>
          <w:rFonts w:asciiTheme="majorHAnsi" w:hAnsiTheme="majorHAnsi" w:cs="Arial"/>
          <w:szCs w:val="26"/>
        </w:rPr>
        <w:t xml:space="preserve">as the </w:t>
      </w:r>
      <w:r w:rsidR="00D06BC7" w:rsidRPr="009578E0">
        <w:rPr>
          <w:rFonts w:asciiTheme="majorHAnsi" w:hAnsiTheme="majorHAnsi" w:cs="Arial"/>
          <w:i/>
          <w:szCs w:val="26"/>
        </w:rPr>
        <w:t>“Inquiry into Vocational Education and Training Fees and Funding Arrangements”</w:t>
      </w:r>
      <w:r w:rsidR="00D06BC7" w:rsidRPr="009578E0">
        <w:rPr>
          <w:rFonts w:asciiTheme="majorHAnsi" w:hAnsiTheme="majorHAnsi" w:cs="Arial"/>
          <w:szCs w:val="26"/>
        </w:rPr>
        <w:t xml:space="preserve">. The inquiry received sixty-three submissions and held several public consultations. </w:t>
      </w:r>
    </w:p>
    <w:p w14:paraId="4F6FA79F" w14:textId="77777777" w:rsidR="00FB69B7" w:rsidRDefault="00FB69B7" w:rsidP="00C65BC9">
      <w:pPr>
        <w:jc w:val="both"/>
        <w:rPr>
          <w:rFonts w:asciiTheme="majorHAnsi" w:hAnsiTheme="majorHAnsi" w:cs="Arial"/>
          <w:szCs w:val="26"/>
        </w:rPr>
      </w:pPr>
    </w:p>
    <w:p w14:paraId="097E6F9B" w14:textId="77777777" w:rsidR="00A428B7" w:rsidRDefault="00D06BC7" w:rsidP="00C65BC9">
      <w:pPr>
        <w:jc w:val="both"/>
        <w:rPr>
          <w:rFonts w:asciiTheme="majorHAnsi" w:hAnsiTheme="majorHAnsi" w:cs="Arial"/>
          <w:szCs w:val="26"/>
        </w:rPr>
      </w:pPr>
      <w:r w:rsidRPr="009578E0">
        <w:rPr>
          <w:rFonts w:asciiTheme="majorHAnsi" w:hAnsiTheme="majorHAnsi" w:cs="Arial"/>
          <w:szCs w:val="26"/>
        </w:rPr>
        <w:t xml:space="preserve">The terms of reference for the inquiry </w:t>
      </w:r>
      <w:r w:rsidR="00FB69B7">
        <w:rPr>
          <w:rFonts w:asciiTheme="majorHAnsi" w:hAnsiTheme="majorHAnsi" w:cs="Arial"/>
          <w:szCs w:val="26"/>
        </w:rPr>
        <w:t xml:space="preserve">included </w:t>
      </w:r>
      <w:r w:rsidRPr="009578E0">
        <w:rPr>
          <w:rFonts w:asciiTheme="majorHAnsi" w:hAnsiTheme="majorHAnsi" w:cs="Arial"/>
          <w:szCs w:val="26"/>
        </w:rPr>
        <w:t>examining the design of the funding mechanism and fee structures and how they con</w:t>
      </w:r>
      <w:r w:rsidR="009D3F35" w:rsidRPr="009578E0">
        <w:rPr>
          <w:rFonts w:asciiTheme="majorHAnsi" w:hAnsiTheme="majorHAnsi" w:cs="Arial"/>
          <w:szCs w:val="26"/>
        </w:rPr>
        <w:t xml:space="preserve">tribute to the core objectives </w:t>
      </w:r>
      <w:r w:rsidRPr="009578E0">
        <w:rPr>
          <w:rFonts w:asciiTheme="majorHAnsi" w:hAnsiTheme="majorHAnsi" w:cs="Arial"/>
          <w:szCs w:val="26"/>
        </w:rPr>
        <w:t xml:space="preserve">of the Victorian Training System. </w:t>
      </w:r>
      <w:r w:rsidR="00FB69B7">
        <w:rPr>
          <w:rFonts w:asciiTheme="majorHAnsi" w:hAnsiTheme="majorHAnsi" w:cs="Arial"/>
          <w:szCs w:val="26"/>
        </w:rPr>
        <w:t>T</w:t>
      </w:r>
      <w:r w:rsidRPr="009578E0">
        <w:rPr>
          <w:rFonts w:asciiTheme="majorHAnsi" w:hAnsiTheme="majorHAnsi" w:cs="Arial"/>
          <w:szCs w:val="26"/>
        </w:rPr>
        <w:t>h</w:t>
      </w:r>
      <w:r w:rsidR="009D3F35" w:rsidRPr="009578E0">
        <w:rPr>
          <w:rFonts w:asciiTheme="majorHAnsi" w:hAnsiTheme="majorHAnsi" w:cs="Arial"/>
          <w:szCs w:val="26"/>
        </w:rPr>
        <w:t xml:space="preserve">e terms of reference </w:t>
      </w:r>
      <w:r w:rsidR="00FB69B7">
        <w:rPr>
          <w:rFonts w:asciiTheme="majorHAnsi" w:hAnsiTheme="majorHAnsi" w:cs="Arial"/>
          <w:szCs w:val="26"/>
        </w:rPr>
        <w:t xml:space="preserve">also </w:t>
      </w:r>
      <w:r w:rsidR="009D3F35" w:rsidRPr="009578E0">
        <w:rPr>
          <w:rFonts w:asciiTheme="majorHAnsi" w:hAnsiTheme="majorHAnsi" w:cs="Arial"/>
          <w:szCs w:val="26"/>
        </w:rPr>
        <w:t xml:space="preserve">sought to examine the efficiency </w:t>
      </w:r>
      <w:r w:rsidRPr="009578E0">
        <w:rPr>
          <w:rFonts w:asciiTheme="majorHAnsi" w:hAnsiTheme="majorHAnsi" w:cs="Arial"/>
          <w:szCs w:val="26"/>
        </w:rPr>
        <w:t xml:space="preserve">and effectiveness of </w:t>
      </w:r>
      <w:r w:rsidR="009D3F35" w:rsidRPr="009578E0">
        <w:rPr>
          <w:rFonts w:asciiTheme="majorHAnsi" w:hAnsiTheme="majorHAnsi" w:cs="Arial"/>
          <w:szCs w:val="26"/>
        </w:rPr>
        <w:t>Government</w:t>
      </w:r>
      <w:r w:rsidRPr="009578E0">
        <w:rPr>
          <w:rFonts w:asciiTheme="majorHAnsi" w:hAnsiTheme="majorHAnsi" w:cs="Arial"/>
          <w:szCs w:val="26"/>
        </w:rPr>
        <w:t xml:space="preserve"> funding mechanisms and fees structures. </w:t>
      </w:r>
      <w:r w:rsidR="00F15BF7">
        <w:rPr>
          <w:rFonts w:asciiTheme="majorHAnsi" w:hAnsiTheme="majorHAnsi" w:cs="Arial"/>
          <w:szCs w:val="26"/>
        </w:rPr>
        <w:t xml:space="preserve">The review adopted the following five principles to determine </w:t>
      </w:r>
      <w:r w:rsidR="0045291A">
        <w:rPr>
          <w:rFonts w:asciiTheme="majorHAnsi" w:hAnsiTheme="majorHAnsi" w:cs="Arial"/>
          <w:szCs w:val="26"/>
        </w:rPr>
        <w:t xml:space="preserve">both </w:t>
      </w:r>
      <w:r w:rsidR="00F15BF7">
        <w:rPr>
          <w:rFonts w:asciiTheme="majorHAnsi" w:hAnsiTheme="majorHAnsi" w:cs="Arial"/>
          <w:szCs w:val="26"/>
        </w:rPr>
        <w:t xml:space="preserve">the </w:t>
      </w:r>
      <w:r w:rsidR="0045291A">
        <w:rPr>
          <w:rFonts w:asciiTheme="majorHAnsi" w:hAnsiTheme="majorHAnsi" w:cs="Arial"/>
          <w:szCs w:val="26"/>
        </w:rPr>
        <w:t xml:space="preserve">design aspects and the </w:t>
      </w:r>
      <w:r w:rsidR="00F15BF7">
        <w:rPr>
          <w:rFonts w:asciiTheme="majorHAnsi" w:hAnsiTheme="majorHAnsi" w:cs="Arial"/>
          <w:szCs w:val="26"/>
        </w:rPr>
        <w:t>efficiency and effectiveness of the fees and funding arrangements, simplicity, certainty, efficiency, consistency and adaptabili</w:t>
      </w:r>
      <w:r w:rsidR="00C65BC9">
        <w:rPr>
          <w:rFonts w:asciiTheme="majorHAnsi" w:hAnsiTheme="majorHAnsi" w:cs="Arial"/>
          <w:szCs w:val="26"/>
        </w:rPr>
        <w:t>t</w:t>
      </w:r>
      <w:r w:rsidR="00F15BF7">
        <w:rPr>
          <w:rFonts w:asciiTheme="majorHAnsi" w:hAnsiTheme="majorHAnsi" w:cs="Arial"/>
          <w:szCs w:val="26"/>
        </w:rPr>
        <w:t xml:space="preserve">y. </w:t>
      </w:r>
      <w:r w:rsidR="0045291A">
        <w:rPr>
          <w:rFonts w:asciiTheme="majorHAnsi" w:hAnsiTheme="majorHAnsi" w:cs="Arial"/>
          <w:szCs w:val="26"/>
        </w:rPr>
        <w:t xml:space="preserve">As </w:t>
      </w:r>
      <w:r w:rsidR="00A428B7">
        <w:rPr>
          <w:rFonts w:asciiTheme="majorHAnsi" w:hAnsiTheme="majorHAnsi" w:cs="Arial"/>
          <w:szCs w:val="26"/>
        </w:rPr>
        <w:t xml:space="preserve">presented through the </w:t>
      </w:r>
      <w:r w:rsidR="00FB69B7">
        <w:rPr>
          <w:rFonts w:asciiTheme="majorHAnsi" w:hAnsiTheme="majorHAnsi" w:cs="Arial"/>
          <w:szCs w:val="26"/>
        </w:rPr>
        <w:t xml:space="preserve">inquiry </w:t>
      </w:r>
      <w:r w:rsidR="00A428B7">
        <w:rPr>
          <w:rFonts w:asciiTheme="majorHAnsi" w:hAnsiTheme="majorHAnsi" w:cs="Arial"/>
          <w:szCs w:val="26"/>
        </w:rPr>
        <w:t>these principles would underpin the VET training market/system as it operated out of Victoria.</w:t>
      </w:r>
      <w:r w:rsidR="00FB69B7">
        <w:rPr>
          <w:rFonts w:asciiTheme="majorHAnsi" w:hAnsiTheme="majorHAnsi" w:cs="Arial"/>
          <w:szCs w:val="26"/>
        </w:rPr>
        <w:t xml:space="preserve"> This paper will argue that the principles adopted by the inquiry did not go far </w:t>
      </w:r>
      <w:r w:rsidR="00FB69B7">
        <w:rPr>
          <w:rFonts w:asciiTheme="majorHAnsi" w:hAnsiTheme="majorHAnsi" w:cs="Arial"/>
          <w:szCs w:val="26"/>
        </w:rPr>
        <w:lastRenderedPageBreak/>
        <w:t xml:space="preserve">enough as a basis for examining the design aspects of, and the efficiency and effectiveness of the VET fees and funding arrangements. The principle of cooperation was overlooked and ignored. Cooperation is central in any market context and is fundamental to an education market where the exchange of goods and services must be qualitatively robust for value and worth to exist.  </w:t>
      </w:r>
    </w:p>
    <w:p w14:paraId="528C55EA" w14:textId="77777777" w:rsidR="00FB69B7" w:rsidRDefault="00FB69B7" w:rsidP="00C65BC9">
      <w:pPr>
        <w:jc w:val="both"/>
        <w:rPr>
          <w:rFonts w:asciiTheme="majorHAnsi" w:hAnsiTheme="majorHAnsi" w:cs="Arial"/>
          <w:szCs w:val="26"/>
        </w:rPr>
      </w:pPr>
    </w:p>
    <w:p w14:paraId="6CC8CC38" w14:textId="77777777" w:rsidR="00FB69B7" w:rsidRDefault="00FB69B7" w:rsidP="00FB69B7">
      <w:pPr>
        <w:jc w:val="both"/>
        <w:rPr>
          <w:rFonts w:asciiTheme="majorHAnsi" w:hAnsiTheme="majorHAnsi" w:cs="Arial"/>
          <w:szCs w:val="26"/>
        </w:rPr>
      </w:pPr>
      <w:r w:rsidRPr="009578E0">
        <w:rPr>
          <w:rFonts w:asciiTheme="majorHAnsi" w:hAnsiTheme="majorHAnsi" w:cs="Arial"/>
          <w:szCs w:val="26"/>
        </w:rPr>
        <w:t xml:space="preserve">The formation of a ‘contestable training’ market where choice is expanded and the quality of the VET experience is increased </w:t>
      </w:r>
      <w:r>
        <w:rPr>
          <w:rFonts w:asciiTheme="majorHAnsi" w:hAnsiTheme="majorHAnsi" w:cs="Arial"/>
          <w:szCs w:val="26"/>
        </w:rPr>
        <w:t xml:space="preserve">it will be argued </w:t>
      </w:r>
      <w:r w:rsidRPr="009578E0">
        <w:rPr>
          <w:rFonts w:asciiTheme="majorHAnsi" w:hAnsiTheme="majorHAnsi" w:cs="Arial"/>
          <w:szCs w:val="26"/>
        </w:rPr>
        <w:t xml:space="preserve">can only occur in a </w:t>
      </w:r>
      <w:r>
        <w:rPr>
          <w:rFonts w:asciiTheme="majorHAnsi" w:hAnsiTheme="majorHAnsi" w:cs="Arial"/>
          <w:szCs w:val="26"/>
        </w:rPr>
        <w:t xml:space="preserve">context </w:t>
      </w:r>
      <w:r w:rsidRPr="009578E0">
        <w:rPr>
          <w:rFonts w:asciiTheme="majorHAnsi" w:hAnsiTheme="majorHAnsi" w:cs="Arial"/>
          <w:szCs w:val="26"/>
        </w:rPr>
        <w:t xml:space="preserve">where cooperation is a cornerstone principle. Yet </w:t>
      </w:r>
      <w:r>
        <w:rPr>
          <w:rFonts w:asciiTheme="majorHAnsi" w:hAnsiTheme="majorHAnsi" w:cs="Arial"/>
          <w:szCs w:val="26"/>
        </w:rPr>
        <w:t xml:space="preserve">in </w:t>
      </w:r>
      <w:r w:rsidRPr="009578E0">
        <w:rPr>
          <w:rFonts w:asciiTheme="majorHAnsi" w:hAnsiTheme="majorHAnsi" w:cs="Arial"/>
          <w:szCs w:val="26"/>
        </w:rPr>
        <w:t xml:space="preserve">the three or so years of the </w:t>
      </w:r>
      <w:r>
        <w:rPr>
          <w:rFonts w:asciiTheme="majorHAnsi" w:hAnsiTheme="majorHAnsi" w:cs="Arial"/>
          <w:szCs w:val="26"/>
        </w:rPr>
        <w:t xml:space="preserve">operation of the VTG that has created a </w:t>
      </w:r>
      <w:r w:rsidRPr="009578E0">
        <w:rPr>
          <w:rFonts w:asciiTheme="majorHAnsi" w:hAnsiTheme="majorHAnsi" w:cs="Arial"/>
          <w:szCs w:val="26"/>
        </w:rPr>
        <w:t xml:space="preserve">contestable training market </w:t>
      </w:r>
      <w:r>
        <w:rPr>
          <w:rFonts w:asciiTheme="majorHAnsi" w:hAnsiTheme="majorHAnsi" w:cs="Arial"/>
          <w:szCs w:val="26"/>
        </w:rPr>
        <w:t xml:space="preserve">the submissions to the inquiry revealed </w:t>
      </w:r>
      <w:r w:rsidRPr="009578E0">
        <w:rPr>
          <w:rFonts w:asciiTheme="majorHAnsi" w:hAnsiTheme="majorHAnsi" w:cs="Arial"/>
          <w:szCs w:val="26"/>
        </w:rPr>
        <w:t>an atmosphere of insecurity, division and suspicion</w:t>
      </w:r>
      <w:r>
        <w:rPr>
          <w:rFonts w:asciiTheme="majorHAnsi" w:hAnsiTheme="majorHAnsi" w:cs="Arial"/>
          <w:szCs w:val="26"/>
        </w:rPr>
        <w:t xml:space="preserve"> in Victorian VET</w:t>
      </w:r>
      <w:r w:rsidRPr="009578E0">
        <w:rPr>
          <w:rFonts w:asciiTheme="majorHAnsi" w:hAnsiTheme="majorHAnsi" w:cs="Arial"/>
          <w:szCs w:val="26"/>
        </w:rPr>
        <w:t>. This was made clear through all of the submissions that either call f</w:t>
      </w:r>
      <w:r>
        <w:rPr>
          <w:rFonts w:asciiTheme="majorHAnsi" w:hAnsiTheme="majorHAnsi" w:cs="Arial"/>
          <w:szCs w:val="26"/>
        </w:rPr>
        <w:t>or a reconsideration of the VTG</w:t>
      </w:r>
      <w:r w:rsidRPr="009578E0">
        <w:rPr>
          <w:rFonts w:asciiTheme="majorHAnsi" w:hAnsiTheme="majorHAnsi" w:cs="Arial"/>
          <w:szCs w:val="26"/>
        </w:rPr>
        <w:t xml:space="preserve"> </w:t>
      </w:r>
      <w:r>
        <w:rPr>
          <w:rFonts w:asciiTheme="majorHAnsi" w:hAnsiTheme="majorHAnsi" w:cs="Arial"/>
          <w:szCs w:val="26"/>
        </w:rPr>
        <w:t xml:space="preserve">through </w:t>
      </w:r>
      <w:r w:rsidRPr="009578E0">
        <w:rPr>
          <w:rFonts w:asciiTheme="majorHAnsi" w:hAnsiTheme="majorHAnsi" w:cs="Arial"/>
          <w:szCs w:val="26"/>
        </w:rPr>
        <w:t>the protection of special circumstances and interests</w:t>
      </w:r>
      <w:r>
        <w:rPr>
          <w:rFonts w:asciiTheme="majorHAnsi" w:hAnsiTheme="majorHAnsi" w:cs="Arial"/>
          <w:szCs w:val="26"/>
        </w:rPr>
        <w:t>. The unanimous point raised in all of the submissions was that the eligibility criteria for accessing government-subsidized training have actually proved to be detrimental to participation in VET</w:t>
      </w:r>
      <w:r w:rsidRPr="009578E0">
        <w:rPr>
          <w:rFonts w:asciiTheme="majorHAnsi" w:hAnsiTheme="majorHAnsi" w:cs="Arial"/>
          <w:szCs w:val="26"/>
        </w:rPr>
        <w:t xml:space="preserve">. </w:t>
      </w:r>
    </w:p>
    <w:p w14:paraId="6E4F74DB" w14:textId="77777777" w:rsidR="00FB69B7" w:rsidRDefault="00FB69B7" w:rsidP="00FB69B7">
      <w:pPr>
        <w:jc w:val="both"/>
        <w:rPr>
          <w:rFonts w:asciiTheme="majorHAnsi" w:hAnsiTheme="majorHAnsi" w:cs="Arial"/>
          <w:szCs w:val="26"/>
        </w:rPr>
      </w:pPr>
    </w:p>
    <w:p w14:paraId="7942E0C7" w14:textId="77777777" w:rsidR="00C65BC9" w:rsidRDefault="00FB69B7" w:rsidP="00C65BC9">
      <w:pPr>
        <w:jc w:val="both"/>
        <w:rPr>
          <w:rFonts w:asciiTheme="majorHAnsi" w:hAnsiTheme="majorHAnsi" w:cs="Arial"/>
          <w:szCs w:val="26"/>
        </w:rPr>
      </w:pPr>
      <w:r>
        <w:rPr>
          <w:rFonts w:asciiTheme="majorHAnsi" w:hAnsiTheme="majorHAnsi" w:cs="Arial"/>
          <w:szCs w:val="26"/>
        </w:rPr>
        <w:t>C</w:t>
      </w:r>
      <w:r w:rsidR="00F15BF7">
        <w:rPr>
          <w:rFonts w:asciiTheme="majorHAnsi" w:hAnsiTheme="majorHAnsi" w:cs="Arial"/>
          <w:szCs w:val="26"/>
        </w:rPr>
        <w:t>onsequen</w:t>
      </w:r>
      <w:r>
        <w:rPr>
          <w:rFonts w:asciiTheme="majorHAnsi" w:hAnsiTheme="majorHAnsi" w:cs="Arial"/>
          <w:szCs w:val="26"/>
        </w:rPr>
        <w:t xml:space="preserve">tly </w:t>
      </w:r>
      <w:r w:rsidR="00F15BF7">
        <w:rPr>
          <w:rFonts w:asciiTheme="majorHAnsi" w:hAnsiTheme="majorHAnsi" w:cs="Arial"/>
          <w:szCs w:val="26"/>
        </w:rPr>
        <w:t xml:space="preserve">the </w:t>
      </w:r>
      <w:r>
        <w:rPr>
          <w:rFonts w:asciiTheme="majorHAnsi" w:hAnsiTheme="majorHAnsi" w:cs="Arial"/>
          <w:szCs w:val="26"/>
        </w:rPr>
        <w:t xml:space="preserve">Inquiry into VET </w:t>
      </w:r>
      <w:r w:rsidR="00F15BF7">
        <w:rPr>
          <w:rFonts w:asciiTheme="majorHAnsi" w:hAnsiTheme="majorHAnsi" w:cs="Arial"/>
          <w:szCs w:val="26"/>
        </w:rPr>
        <w:t xml:space="preserve">fees and funding </w:t>
      </w:r>
      <w:r w:rsidR="00C65BC9">
        <w:rPr>
          <w:rFonts w:asciiTheme="majorHAnsi" w:hAnsiTheme="majorHAnsi" w:cs="Arial"/>
          <w:szCs w:val="26"/>
        </w:rPr>
        <w:t xml:space="preserve">did not </w:t>
      </w:r>
      <w:r>
        <w:rPr>
          <w:rFonts w:asciiTheme="majorHAnsi" w:hAnsiTheme="majorHAnsi" w:cs="Arial"/>
          <w:szCs w:val="26"/>
        </w:rPr>
        <w:t xml:space="preserve">fully address </w:t>
      </w:r>
      <w:r w:rsidR="00C65BC9">
        <w:rPr>
          <w:rFonts w:asciiTheme="majorHAnsi" w:hAnsiTheme="majorHAnsi" w:cs="Arial"/>
          <w:szCs w:val="26"/>
        </w:rPr>
        <w:t xml:space="preserve">the impacts of the VTG on </w:t>
      </w:r>
      <w:r>
        <w:rPr>
          <w:rFonts w:asciiTheme="majorHAnsi" w:hAnsiTheme="majorHAnsi" w:cs="Arial"/>
          <w:szCs w:val="26"/>
        </w:rPr>
        <w:t xml:space="preserve">VET </w:t>
      </w:r>
      <w:r w:rsidR="00C03392">
        <w:rPr>
          <w:rFonts w:asciiTheme="majorHAnsi" w:hAnsiTheme="majorHAnsi" w:cs="Arial"/>
          <w:szCs w:val="26"/>
        </w:rPr>
        <w:t>students or providers</w:t>
      </w:r>
      <w:r>
        <w:rPr>
          <w:rFonts w:asciiTheme="majorHAnsi" w:hAnsiTheme="majorHAnsi" w:cs="Arial"/>
          <w:szCs w:val="26"/>
        </w:rPr>
        <w:t xml:space="preserve">. </w:t>
      </w:r>
      <w:r w:rsidR="00C65BC9">
        <w:rPr>
          <w:rFonts w:asciiTheme="majorHAnsi" w:hAnsiTheme="majorHAnsi" w:cs="Arial"/>
          <w:szCs w:val="26"/>
        </w:rPr>
        <w:t xml:space="preserve">It did however </w:t>
      </w:r>
      <w:r w:rsidR="00980064">
        <w:rPr>
          <w:rFonts w:asciiTheme="majorHAnsi" w:hAnsiTheme="majorHAnsi" w:cs="Arial"/>
          <w:szCs w:val="26"/>
        </w:rPr>
        <w:t>provide an op</w:t>
      </w:r>
      <w:r w:rsidR="00C03392">
        <w:rPr>
          <w:rFonts w:asciiTheme="majorHAnsi" w:hAnsiTheme="majorHAnsi" w:cs="Arial"/>
          <w:szCs w:val="26"/>
        </w:rPr>
        <w:t xml:space="preserve">portunity </w:t>
      </w:r>
      <w:r w:rsidR="00221053">
        <w:rPr>
          <w:rFonts w:asciiTheme="majorHAnsi" w:hAnsiTheme="majorHAnsi" w:cs="Arial"/>
          <w:szCs w:val="26"/>
        </w:rPr>
        <w:t xml:space="preserve">for a </w:t>
      </w:r>
      <w:r w:rsidR="00570190">
        <w:rPr>
          <w:rFonts w:asciiTheme="majorHAnsi" w:hAnsiTheme="majorHAnsi" w:cs="Arial"/>
          <w:szCs w:val="26"/>
        </w:rPr>
        <w:t xml:space="preserve">point in time </w:t>
      </w:r>
      <w:r w:rsidR="00C65BC9">
        <w:rPr>
          <w:rFonts w:asciiTheme="majorHAnsi" w:hAnsiTheme="majorHAnsi" w:cs="Arial"/>
          <w:szCs w:val="26"/>
        </w:rPr>
        <w:t xml:space="preserve">public </w:t>
      </w:r>
      <w:r w:rsidR="00D577E1">
        <w:rPr>
          <w:rFonts w:asciiTheme="majorHAnsi" w:hAnsiTheme="majorHAnsi" w:cs="Arial"/>
          <w:szCs w:val="26"/>
        </w:rPr>
        <w:t>airing of the impact of the fee</w:t>
      </w:r>
      <w:r w:rsidR="00980064">
        <w:rPr>
          <w:rFonts w:asciiTheme="majorHAnsi" w:hAnsiTheme="majorHAnsi" w:cs="Arial"/>
          <w:szCs w:val="26"/>
        </w:rPr>
        <w:t>s</w:t>
      </w:r>
      <w:r w:rsidR="00C65BC9">
        <w:rPr>
          <w:rFonts w:asciiTheme="majorHAnsi" w:hAnsiTheme="majorHAnsi" w:cs="Arial"/>
          <w:szCs w:val="26"/>
        </w:rPr>
        <w:t xml:space="preserve"> and funding changes associated with the VTG</w:t>
      </w:r>
      <w:r>
        <w:rPr>
          <w:rFonts w:asciiTheme="majorHAnsi" w:hAnsiTheme="majorHAnsi" w:cs="Arial"/>
          <w:szCs w:val="26"/>
        </w:rPr>
        <w:t xml:space="preserve">. The submissions to the inquiry revealed </w:t>
      </w:r>
      <w:r w:rsidR="0045291A">
        <w:rPr>
          <w:rFonts w:asciiTheme="majorHAnsi" w:hAnsiTheme="majorHAnsi" w:cs="Arial"/>
          <w:szCs w:val="26"/>
        </w:rPr>
        <w:t>what</w:t>
      </w:r>
      <w:r w:rsidR="00980064">
        <w:rPr>
          <w:rFonts w:asciiTheme="majorHAnsi" w:hAnsiTheme="majorHAnsi" w:cs="Arial"/>
          <w:szCs w:val="26"/>
        </w:rPr>
        <w:t xml:space="preserve"> </w:t>
      </w:r>
      <w:r>
        <w:rPr>
          <w:rFonts w:asciiTheme="majorHAnsi" w:hAnsiTheme="majorHAnsi" w:cs="Arial"/>
          <w:szCs w:val="26"/>
        </w:rPr>
        <w:t xml:space="preserve">impacts the VTG </w:t>
      </w:r>
      <w:r w:rsidR="00C65BC9">
        <w:rPr>
          <w:rFonts w:asciiTheme="majorHAnsi" w:hAnsiTheme="majorHAnsi" w:cs="Arial"/>
          <w:szCs w:val="26"/>
        </w:rPr>
        <w:t>ha</w:t>
      </w:r>
      <w:r w:rsidR="0045291A">
        <w:rPr>
          <w:rFonts w:asciiTheme="majorHAnsi" w:hAnsiTheme="majorHAnsi" w:cs="Arial"/>
          <w:szCs w:val="26"/>
        </w:rPr>
        <w:t xml:space="preserve">s </w:t>
      </w:r>
      <w:r>
        <w:rPr>
          <w:rFonts w:asciiTheme="majorHAnsi" w:hAnsiTheme="majorHAnsi" w:cs="Arial"/>
          <w:szCs w:val="26"/>
        </w:rPr>
        <w:t xml:space="preserve">had </w:t>
      </w:r>
      <w:r w:rsidR="00221053">
        <w:rPr>
          <w:rFonts w:asciiTheme="majorHAnsi" w:hAnsiTheme="majorHAnsi" w:cs="Arial"/>
          <w:szCs w:val="26"/>
        </w:rPr>
        <w:t xml:space="preserve">for </w:t>
      </w:r>
      <w:r w:rsidR="00EC73D9">
        <w:rPr>
          <w:rFonts w:asciiTheme="majorHAnsi" w:hAnsiTheme="majorHAnsi" w:cs="Arial"/>
          <w:szCs w:val="26"/>
        </w:rPr>
        <w:t>a</w:t>
      </w:r>
      <w:r w:rsidR="00C03392">
        <w:rPr>
          <w:rFonts w:asciiTheme="majorHAnsi" w:hAnsiTheme="majorHAnsi" w:cs="Arial"/>
          <w:szCs w:val="26"/>
        </w:rPr>
        <w:t xml:space="preserve"> range of </w:t>
      </w:r>
      <w:r w:rsidR="00C65BC9">
        <w:rPr>
          <w:rFonts w:asciiTheme="majorHAnsi" w:hAnsiTheme="majorHAnsi" w:cs="Arial"/>
          <w:szCs w:val="26"/>
        </w:rPr>
        <w:t xml:space="preserve">VET stakeholders. </w:t>
      </w:r>
    </w:p>
    <w:p w14:paraId="15B62FCD" w14:textId="77777777" w:rsidR="001C4D6C" w:rsidRPr="009578E0" w:rsidRDefault="001C4D6C" w:rsidP="00AD4D09">
      <w:pPr>
        <w:rPr>
          <w:rFonts w:asciiTheme="majorHAnsi" w:hAnsiTheme="majorHAnsi" w:cs="Arial"/>
          <w:sz w:val="22"/>
          <w:szCs w:val="26"/>
        </w:rPr>
      </w:pPr>
    </w:p>
    <w:p w14:paraId="0954888B" w14:textId="77777777" w:rsidR="004F40D4" w:rsidRDefault="004F40D4" w:rsidP="004F40D4">
      <w:pPr>
        <w:rPr>
          <w:rFonts w:asciiTheme="majorHAnsi" w:hAnsiTheme="majorHAnsi" w:cs="Arial"/>
          <w:sz w:val="28"/>
          <w:szCs w:val="26"/>
        </w:rPr>
      </w:pPr>
      <w:r>
        <w:rPr>
          <w:rFonts w:asciiTheme="majorHAnsi" w:hAnsiTheme="majorHAnsi" w:cs="Arial"/>
          <w:sz w:val="28"/>
          <w:szCs w:val="26"/>
        </w:rPr>
        <w:t xml:space="preserve">Context </w:t>
      </w:r>
    </w:p>
    <w:p w14:paraId="0B06F166" w14:textId="77777777" w:rsidR="00A526F4" w:rsidRDefault="00D577E1" w:rsidP="004F40D4">
      <w:pPr>
        <w:jc w:val="both"/>
        <w:rPr>
          <w:rFonts w:asciiTheme="majorHAnsi" w:hAnsiTheme="majorHAnsi" w:cs="Arial"/>
          <w:szCs w:val="26"/>
        </w:rPr>
      </w:pPr>
      <w:r w:rsidRPr="009578E0">
        <w:rPr>
          <w:rFonts w:asciiTheme="majorHAnsi" w:hAnsiTheme="majorHAnsi" w:cs="Arial"/>
          <w:szCs w:val="26"/>
        </w:rPr>
        <w:t>For the past three decades, the market h</w:t>
      </w:r>
      <w:r w:rsidR="00446384">
        <w:rPr>
          <w:rFonts w:asciiTheme="majorHAnsi" w:hAnsiTheme="majorHAnsi" w:cs="Arial"/>
          <w:szCs w:val="26"/>
        </w:rPr>
        <w:t>as become the metanarrative and</w:t>
      </w:r>
      <w:r w:rsidRPr="009578E0">
        <w:rPr>
          <w:rFonts w:asciiTheme="majorHAnsi" w:hAnsiTheme="majorHAnsi" w:cs="Arial"/>
          <w:szCs w:val="26"/>
        </w:rPr>
        <w:t xml:space="preserve">, “dominant model for </w:t>
      </w:r>
      <w:r w:rsidR="0045291A" w:rsidRPr="009578E0">
        <w:rPr>
          <w:rFonts w:asciiTheme="majorHAnsi" w:hAnsiTheme="majorHAnsi" w:cs="Arial"/>
          <w:szCs w:val="26"/>
        </w:rPr>
        <w:t>reframing the</w:t>
      </w:r>
      <w:r w:rsidRPr="009578E0">
        <w:rPr>
          <w:rFonts w:asciiTheme="majorHAnsi" w:hAnsiTheme="majorHAnsi" w:cs="Arial"/>
          <w:szCs w:val="26"/>
        </w:rPr>
        <w:t xml:space="preserve"> relationships between skills, </w:t>
      </w:r>
      <w:r w:rsidR="0045291A" w:rsidRPr="009578E0">
        <w:rPr>
          <w:rFonts w:asciiTheme="majorHAnsi" w:hAnsiTheme="majorHAnsi" w:cs="Arial"/>
          <w:szCs w:val="26"/>
        </w:rPr>
        <w:t>supply and</w:t>
      </w:r>
      <w:r w:rsidRPr="009578E0">
        <w:rPr>
          <w:rFonts w:asciiTheme="majorHAnsi" w:hAnsiTheme="majorHAnsi" w:cs="Arial"/>
          <w:szCs w:val="26"/>
        </w:rPr>
        <w:t xml:space="preserve"> demand and for re-engineering the structure, culture and operations of the </w:t>
      </w:r>
      <w:r w:rsidR="0045291A" w:rsidRPr="009578E0">
        <w:rPr>
          <w:rFonts w:asciiTheme="majorHAnsi" w:hAnsiTheme="majorHAnsi" w:cs="Arial"/>
          <w:szCs w:val="26"/>
        </w:rPr>
        <w:t>VET sector</w:t>
      </w:r>
      <w:r w:rsidR="0045291A">
        <w:rPr>
          <w:rFonts w:asciiTheme="majorHAnsi" w:hAnsiTheme="majorHAnsi" w:cs="Arial"/>
          <w:szCs w:val="26"/>
        </w:rPr>
        <w:t xml:space="preserve"> (A</w:t>
      </w:r>
      <w:r w:rsidRPr="009578E0">
        <w:rPr>
          <w:rFonts w:asciiTheme="majorHAnsi" w:hAnsiTheme="majorHAnsi" w:cs="Arial"/>
          <w:szCs w:val="26"/>
        </w:rPr>
        <w:t>nderson, 1997, p.1).</w:t>
      </w:r>
      <w:r w:rsidR="004F40D4">
        <w:rPr>
          <w:rFonts w:asciiTheme="majorHAnsi" w:hAnsiTheme="majorHAnsi" w:cs="Arial"/>
          <w:szCs w:val="26"/>
        </w:rPr>
        <w:t xml:space="preserve"> </w:t>
      </w:r>
      <w:r w:rsidRPr="009578E0">
        <w:rPr>
          <w:rFonts w:asciiTheme="majorHAnsi" w:hAnsiTheme="majorHAnsi" w:cs="Arial"/>
          <w:szCs w:val="26"/>
        </w:rPr>
        <w:t>Throughout this period the TAFE system and later the training system came to be recognised as a market, this was especi</w:t>
      </w:r>
      <w:r w:rsidR="00D71A82">
        <w:rPr>
          <w:rFonts w:asciiTheme="majorHAnsi" w:hAnsiTheme="majorHAnsi" w:cs="Arial"/>
          <w:szCs w:val="26"/>
        </w:rPr>
        <w:t xml:space="preserve">ally the case after the Deveson </w:t>
      </w:r>
      <w:r w:rsidRPr="009578E0">
        <w:rPr>
          <w:rFonts w:asciiTheme="majorHAnsi" w:hAnsiTheme="majorHAnsi" w:cs="Arial"/>
          <w:szCs w:val="26"/>
        </w:rPr>
        <w:t>Review</w:t>
      </w:r>
      <w:r w:rsidR="00D71A82">
        <w:rPr>
          <w:rFonts w:asciiTheme="majorHAnsi" w:hAnsiTheme="majorHAnsi" w:cs="Arial"/>
          <w:szCs w:val="26"/>
        </w:rPr>
        <w:t xml:space="preserve"> </w:t>
      </w:r>
      <w:r w:rsidRPr="009578E0">
        <w:rPr>
          <w:rFonts w:asciiTheme="majorHAnsi" w:hAnsiTheme="majorHAnsi" w:cs="Arial"/>
          <w:szCs w:val="26"/>
        </w:rPr>
        <w:t xml:space="preserve">(1990). </w:t>
      </w:r>
      <w:r>
        <w:rPr>
          <w:rFonts w:asciiTheme="majorHAnsi" w:hAnsiTheme="majorHAnsi" w:cs="Arial"/>
          <w:szCs w:val="26"/>
        </w:rPr>
        <w:t>The shi</w:t>
      </w:r>
      <w:r w:rsidR="003A2D22">
        <w:rPr>
          <w:rFonts w:asciiTheme="majorHAnsi" w:hAnsiTheme="majorHAnsi" w:cs="Arial"/>
          <w:szCs w:val="26"/>
        </w:rPr>
        <w:t>ft from understanding</w:t>
      </w:r>
      <w:r w:rsidR="00980064">
        <w:rPr>
          <w:rFonts w:asciiTheme="majorHAnsi" w:hAnsiTheme="majorHAnsi" w:cs="Arial"/>
          <w:szCs w:val="26"/>
        </w:rPr>
        <w:t xml:space="preserve"> VET as a</w:t>
      </w:r>
      <w:r w:rsidR="0045291A">
        <w:rPr>
          <w:rFonts w:asciiTheme="majorHAnsi" w:hAnsiTheme="majorHAnsi" w:cs="Arial"/>
          <w:szCs w:val="26"/>
        </w:rPr>
        <w:t xml:space="preserve">n ‘education </w:t>
      </w:r>
      <w:r w:rsidR="00980064">
        <w:rPr>
          <w:rFonts w:asciiTheme="majorHAnsi" w:hAnsiTheme="majorHAnsi" w:cs="Arial"/>
          <w:szCs w:val="26"/>
        </w:rPr>
        <w:t>system</w:t>
      </w:r>
      <w:r w:rsidR="0045291A">
        <w:rPr>
          <w:rFonts w:asciiTheme="majorHAnsi" w:hAnsiTheme="majorHAnsi" w:cs="Arial"/>
          <w:szCs w:val="26"/>
        </w:rPr>
        <w:t>’</w:t>
      </w:r>
      <w:r w:rsidR="00980064">
        <w:rPr>
          <w:rFonts w:asciiTheme="majorHAnsi" w:hAnsiTheme="majorHAnsi" w:cs="Arial"/>
          <w:szCs w:val="26"/>
        </w:rPr>
        <w:t xml:space="preserve"> </w:t>
      </w:r>
      <w:r>
        <w:rPr>
          <w:rFonts w:asciiTheme="majorHAnsi" w:hAnsiTheme="majorHAnsi" w:cs="Arial"/>
          <w:szCs w:val="26"/>
        </w:rPr>
        <w:t xml:space="preserve">to </w:t>
      </w:r>
      <w:r w:rsidR="00980064">
        <w:rPr>
          <w:rFonts w:asciiTheme="majorHAnsi" w:hAnsiTheme="majorHAnsi" w:cs="Arial"/>
          <w:szCs w:val="26"/>
        </w:rPr>
        <w:t xml:space="preserve">explaining and arranging it </w:t>
      </w:r>
      <w:r w:rsidR="0045291A">
        <w:rPr>
          <w:rFonts w:asciiTheme="majorHAnsi" w:hAnsiTheme="majorHAnsi" w:cs="Arial"/>
          <w:szCs w:val="26"/>
        </w:rPr>
        <w:t xml:space="preserve">in </w:t>
      </w:r>
      <w:r>
        <w:rPr>
          <w:rFonts w:asciiTheme="majorHAnsi" w:hAnsiTheme="majorHAnsi" w:cs="Arial"/>
          <w:szCs w:val="26"/>
        </w:rPr>
        <w:t xml:space="preserve">market </w:t>
      </w:r>
      <w:r w:rsidR="00980064">
        <w:rPr>
          <w:rFonts w:asciiTheme="majorHAnsi" w:hAnsiTheme="majorHAnsi" w:cs="Arial"/>
          <w:szCs w:val="26"/>
        </w:rPr>
        <w:t xml:space="preserve">terms </w:t>
      </w:r>
      <w:r w:rsidR="0045291A">
        <w:rPr>
          <w:rFonts w:asciiTheme="majorHAnsi" w:hAnsiTheme="majorHAnsi" w:cs="Arial"/>
          <w:szCs w:val="26"/>
        </w:rPr>
        <w:t>was</w:t>
      </w:r>
      <w:r>
        <w:rPr>
          <w:rFonts w:asciiTheme="majorHAnsi" w:hAnsiTheme="majorHAnsi" w:cs="Arial"/>
          <w:szCs w:val="26"/>
        </w:rPr>
        <w:t xml:space="preserve"> not just a category change but </w:t>
      </w:r>
      <w:r w:rsidR="003A2D22">
        <w:rPr>
          <w:rFonts w:asciiTheme="majorHAnsi" w:hAnsiTheme="majorHAnsi" w:cs="Arial"/>
          <w:szCs w:val="26"/>
        </w:rPr>
        <w:t>a</w:t>
      </w:r>
      <w:r>
        <w:rPr>
          <w:rFonts w:asciiTheme="majorHAnsi" w:hAnsiTheme="majorHAnsi" w:cs="Arial"/>
          <w:szCs w:val="26"/>
        </w:rPr>
        <w:t xml:space="preserve"> cultural shift associated with changes in public administration dating back to the 1980s. These changes subjected previous</w:t>
      </w:r>
      <w:r w:rsidR="003A2D22">
        <w:rPr>
          <w:rFonts w:asciiTheme="majorHAnsi" w:hAnsiTheme="majorHAnsi" w:cs="Arial"/>
          <w:szCs w:val="26"/>
        </w:rPr>
        <w:t>l</w:t>
      </w:r>
      <w:r>
        <w:rPr>
          <w:rFonts w:asciiTheme="majorHAnsi" w:hAnsiTheme="majorHAnsi" w:cs="Arial"/>
          <w:szCs w:val="26"/>
        </w:rPr>
        <w:t>y owned government</w:t>
      </w:r>
      <w:r w:rsidR="00A526F4">
        <w:rPr>
          <w:rFonts w:asciiTheme="majorHAnsi" w:hAnsiTheme="majorHAnsi" w:cs="Arial"/>
          <w:szCs w:val="26"/>
        </w:rPr>
        <w:t xml:space="preserve"> </w:t>
      </w:r>
      <w:r w:rsidR="0045291A">
        <w:rPr>
          <w:rFonts w:asciiTheme="majorHAnsi" w:hAnsiTheme="majorHAnsi" w:cs="Arial"/>
          <w:szCs w:val="26"/>
        </w:rPr>
        <w:t xml:space="preserve">agencies and </w:t>
      </w:r>
      <w:r w:rsidR="00A526F4">
        <w:rPr>
          <w:rFonts w:asciiTheme="majorHAnsi" w:hAnsiTheme="majorHAnsi" w:cs="Arial"/>
          <w:szCs w:val="26"/>
        </w:rPr>
        <w:t xml:space="preserve">enterprises such as </w:t>
      </w:r>
      <w:r>
        <w:rPr>
          <w:rFonts w:asciiTheme="majorHAnsi" w:hAnsiTheme="majorHAnsi" w:cs="Arial"/>
          <w:szCs w:val="26"/>
        </w:rPr>
        <w:t xml:space="preserve">health, education, and power utilities </w:t>
      </w:r>
      <w:r w:rsidR="00A526F4">
        <w:rPr>
          <w:rFonts w:asciiTheme="majorHAnsi" w:hAnsiTheme="majorHAnsi" w:cs="Arial"/>
          <w:szCs w:val="26"/>
        </w:rPr>
        <w:t xml:space="preserve">amongst others </w:t>
      </w:r>
      <w:r>
        <w:rPr>
          <w:rFonts w:asciiTheme="majorHAnsi" w:hAnsiTheme="majorHAnsi" w:cs="Arial"/>
          <w:szCs w:val="26"/>
        </w:rPr>
        <w:t>to ‘market logics’</w:t>
      </w:r>
      <w:r w:rsidR="003A2D22">
        <w:rPr>
          <w:rFonts w:asciiTheme="majorHAnsi" w:hAnsiTheme="majorHAnsi" w:cs="Arial"/>
          <w:szCs w:val="26"/>
        </w:rPr>
        <w:t xml:space="preserve"> (Karmel, Beddie </w:t>
      </w:r>
      <w:r w:rsidR="00980064">
        <w:rPr>
          <w:rFonts w:asciiTheme="majorHAnsi" w:hAnsiTheme="majorHAnsi" w:cs="Arial"/>
          <w:szCs w:val="26"/>
        </w:rPr>
        <w:t>and Dawe, 2009)</w:t>
      </w:r>
      <w:r w:rsidR="003A2D22">
        <w:rPr>
          <w:rFonts w:asciiTheme="majorHAnsi" w:hAnsiTheme="majorHAnsi" w:cs="Arial"/>
          <w:szCs w:val="26"/>
        </w:rPr>
        <w:t>.</w:t>
      </w:r>
      <w:r w:rsidR="0045291A">
        <w:rPr>
          <w:rFonts w:asciiTheme="majorHAnsi" w:hAnsiTheme="majorHAnsi" w:cs="Arial"/>
          <w:szCs w:val="26"/>
        </w:rPr>
        <w:t xml:space="preserve"> </w:t>
      </w:r>
      <w:r w:rsidR="00980064">
        <w:rPr>
          <w:rFonts w:asciiTheme="majorHAnsi" w:hAnsiTheme="majorHAnsi" w:cs="Arial"/>
          <w:szCs w:val="26"/>
        </w:rPr>
        <w:t xml:space="preserve">In Victoria the VET </w:t>
      </w:r>
      <w:r w:rsidRPr="009578E0">
        <w:rPr>
          <w:rFonts w:asciiTheme="majorHAnsi" w:hAnsiTheme="majorHAnsi" w:cs="Arial"/>
          <w:szCs w:val="26"/>
        </w:rPr>
        <w:t>market</w:t>
      </w:r>
      <w:r w:rsidR="00980064">
        <w:rPr>
          <w:rFonts w:asciiTheme="majorHAnsi" w:hAnsiTheme="majorHAnsi" w:cs="Arial"/>
          <w:szCs w:val="26"/>
        </w:rPr>
        <w:t xml:space="preserve">/system was given shape and form through </w:t>
      </w:r>
      <w:r w:rsidRPr="009578E0">
        <w:rPr>
          <w:rFonts w:asciiTheme="majorHAnsi" w:hAnsiTheme="majorHAnsi" w:cs="Arial"/>
          <w:szCs w:val="26"/>
        </w:rPr>
        <w:t xml:space="preserve">performance agreements between government and providers (mostly public TAFE and ACE and some private) this arrangement </w:t>
      </w:r>
      <w:r w:rsidR="00980064">
        <w:rPr>
          <w:rFonts w:asciiTheme="majorHAnsi" w:hAnsiTheme="majorHAnsi" w:cs="Arial"/>
          <w:szCs w:val="26"/>
        </w:rPr>
        <w:t>exemplified a purchaser-</w:t>
      </w:r>
      <w:r w:rsidRPr="009578E0">
        <w:rPr>
          <w:rFonts w:asciiTheme="majorHAnsi" w:hAnsiTheme="majorHAnsi" w:cs="Arial"/>
          <w:szCs w:val="26"/>
        </w:rPr>
        <w:t>provider market model with the government as purchaser and allocator of public fu</w:t>
      </w:r>
      <w:r w:rsidR="00D71A82">
        <w:rPr>
          <w:rFonts w:asciiTheme="majorHAnsi" w:hAnsiTheme="majorHAnsi" w:cs="Arial"/>
          <w:szCs w:val="26"/>
        </w:rPr>
        <w:t xml:space="preserve">nds </w:t>
      </w:r>
      <w:r w:rsidRPr="009578E0">
        <w:rPr>
          <w:rFonts w:asciiTheme="majorHAnsi" w:hAnsiTheme="majorHAnsi" w:cs="Arial"/>
          <w:szCs w:val="26"/>
        </w:rPr>
        <w:t xml:space="preserve">(Anderson, 1997, p.24). Such an approach </w:t>
      </w:r>
      <w:r w:rsidR="003A2D22">
        <w:rPr>
          <w:rFonts w:asciiTheme="majorHAnsi" w:hAnsiTheme="majorHAnsi" w:cs="Arial"/>
          <w:szCs w:val="26"/>
        </w:rPr>
        <w:t xml:space="preserve">was </w:t>
      </w:r>
      <w:r>
        <w:rPr>
          <w:rFonts w:asciiTheme="majorHAnsi" w:hAnsiTheme="majorHAnsi" w:cs="Arial"/>
          <w:szCs w:val="26"/>
        </w:rPr>
        <w:t>based on centralised decision</w:t>
      </w:r>
      <w:r w:rsidRPr="009578E0">
        <w:rPr>
          <w:rFonts w:asciiTheme="majorHAnsi" w:hAnsiTheme="majorHAnsi" w:cs="Arial"/>
          <w:szCs w:val="26"/>
        </w:rPr>
        <w:t>–ma</w:t>
      </w:r>
      <w:r w:rsidR="003A2D22">
        <w:rPr>
          <w:rFonts w:asciiTheme="majorHAnsi" w:hAnsiTheme="majorHAnsi" w:cs="Arial"/>
          <w:szCs w:val="26"/>
        </w:rPr>
        <w:t xml:space="preserve">king and planning </w:t>
      </w:r>
      <w:r w:rsidR="0045291A">
        <w:rPr>
          <w:rFonts w:asciiTheme="majorHAnsi" w:hAnsiTheme="majorHAnsi" w:cs="Arial"/>
          <w:szCs w:val="26"/>
        </w:rPr>
        <w:t xml:space="preserve">that </w:t>
      </w:r>
      <w:r w:rsidR="003A2D22">
        <w:rPr>
          <w:rFonts w:asciiTheme="majorHAnsi" w:hAnsiTheme="majorHAnsi" w:cs="Arial"/>
          <w:szCs w:val="26"/>
        </w:rPr>
        <w:t>emphasised</w:t>
      </w:r>
      <w:r w:rsidRPr="009578E0">
        <w:rPr>
          <w:rFonts w:asciiTheme="majorHAnsi" w:hAnsiTheme="majorHAnsi" w:cs="Arial"/>
          <w:szCs w:val="26"/>
        </w:rPr>
        <w:t xml:space="preserve"> a supply-side </w:t>
      </w:r>
      <w:r w:rsidR="0045291A">
        <w:rPr>
          <w:rFonts w:asciiTheme="majorHAnsi" w:hAnsiTheme="majorHAnsi" w:cs="Arial"/>
          <w:szCs w:val="26"/>
        </w:rPr>
        <w:t xml:space="preserve">marketised </w:t>
      </w:r>
      <w:r w:rsidRPr="009578E0">
        <w:rPr>
          <w:rFonts w:asciiTheme="majorHAnsi" w:hAnsiTheme="majorHAnsi" w:cs="Arial"/>
          <w:szCs w:val="26"/>
        </w:rPr>
        <w:t xml:space="preserve">focus. </w:t>
      </w:r>
    </w:p>
    <w:p w14:paraId="246792AC" w14:textId="77777777" w:rsidR="00A526F4" w:rsidRDefault="00A526F4" w:rsidP="00D577E1">
      <w:pPr>
        <w:jc w:val="both"/>
        <w:rPr>
          <w:rFonts w:asciiTheme="majorHAnsi" w:hAnsiTheme="majorHAnsi" w:cs="Arial"/>
          <w:szCs w:val="26"/>
        </w:rPr>
      </w:pPr>
    </w:p>
    <w:p w14:paraId="3472A84D" w14:textId="77777777" w:rsidR="00AD4D09" w:rsidRDefault="00A526F4" w:rsidP="00C65BC9">
      <w:pPr>
        <w:jc w:val="both"/>
        <w:rPr>
          <w:rFonts w:asciiTheme="majorHAnsi" w:hAnsiTheme="majorHAnsi" w:cs="Arial"/>
          <w:szCs w:val="26"/>
        </w:rPr>
      </w:pPr>
      <w:r>
        <w:rPr>
          <w:rFonts w:asciiTheme="majorHAnsi" w:hAnsiTheme="majorHAnsi" w:cs="Arial"/>
          <w:szCs w:val="26"/>
        </w:rPr>
        <w:t xml:space="preserve">Through </w:t>
      </w:r>
      <w:r w:rsidR="00980064">
        <w:rPr>
          <w:rFonts w:asciiTheme="majorHAnsi" w:hAnsiTheme="majorHAnsi" w:cs="Arial"/>
          <w:szCs w:val="26"/>
        </w:rPr>
        <w:t>the recent c</w:t>
      </w:r>
      <w:r w:rsidR="00D577E1" w:rsidRPr="009578E0">
        <w:rPr>
          <w:rFonts w:asciiTheme="majorHAnsi" w:hAnsiTheme="majorHAnsi" w:cs="Arial"/>
          <w:szCs w:val="26"/>
        </w:rPr>
        <w:t>ontestability approach</w:t>
      </w:r>
      <w:r w:rsidR="003A2D22">
        <w:rPr>
          <w:rFonts w:asciiTheme="majorHAnsi" w:hAnsiTheme="majorHAnsi" w:cs="Arial"/>
          <w:szCs w:val="26"/>
        </w:rPr>
        <w:t xml:space="preserve"> </w:t>
      </w:r>
      <w:r w:rsidR="00980064">
        <w:rPr>
          <w:rFonts w:asciiTheme="majorHAnsi" w:hAnsiTheme="majorHAnsi" w:cs="Arial"/>
          <w:szCs w:val="26"/>
        </w:rPr>
        <w:t xml:space="preserve">developed through the </w:t>
      </w:r>
      <w:r>
        <w:rPr>
          <w:rFonts w:asciiTheme="majorHAnsi" w:hAnsiTheme="majorHAnsi" w:cs="Arial"/>
          <w:szCs w:val="26"/>
        </w:rPr>
        <w:t>Victoria</w:t>
      </w:r>
      <w:r w:rsidR="00980064">
        <w:rPr>
          <w:rFonts w:asciiTheme="majorHAnsi" w:hAnsiTheme="majorHAnsi" w:cs="Arial"/>
          <w:szCs w:val="26"/>
        </w:rPr>
        <w:t>n Training Gu</w:t>
      </w:r>
      <w:r w:rsidR="004F40D4">
        <w:rPr>
          <w:rFonts w:asciiTheme="majorHAnsi" w:hAnsiTheme="majorHAnsi" w:cs="Arial"/>
          <w:szCs w:val="26"/>
        </w:rPr>
        <w:t>a</w:t>
      </w:r>
      <w:r w:rsidR="00980064">
        <w:rPr>
          <w:rFonts w:asciiTheme="majorHAnsi" w:hAnsiTheme="majorHAnsi" w:cs="Arial"/>
          <w:szCs w:val="26"/>
        </w:rPr>
        <w:t xml:space="preserve">rantee (VTG) the </w:t>
      </w:r>
      <w:r w:rsidR="0045291A">
        <w:rPr>
          <w:rFonts w:asciiTheme="majorHAnsi" w:hAnsiTheme="majorHAnsi" w:cs="Arial"/>
          <w:szCs w:val="26"/>
        </w:rPr>
        <w:t xml:space="preserve">market </w:t>
      </w:r>
      <w:r w:rsidR="00980064">
        <w:rPr>
          <w:rFonts w:asciiTheme="majorHAnsi" w:hAnsiTheme="majorHAnsi" w:cs="Arial"/>
          <w:szCs w:val="26"/>
        </w:rPr>
        <w:t xml:space="preserve">focus shifted to </w:t>
      </w:r>
      <w:r w:rsidR="00D577E1" w:rsidRPr="009578E0">
        <w:rPr>
          <w:rFonts w:asciiTheme="majorHAnsi" w:hAnsiTheme="majorHAnsi" w:cs="Arial"/>
          <w:szCs w:val="26"/>
        </w:rPr>
        <w:t xml:space="preserve">a </w:t>
      </w:r>
      <w:r w:rsidR="003A2D22">
        <w:rPr>
          <w:rFonts w:asciiTheme="majorHAnsi" w:hAnsiTheme="majorHAnsi" w:cs="Arial"/>
          <w:szCs w:val="26"/>
        </w:rPr>
        <w:t>demand</w:t>
      </w:r>
      <w:r w:rsidR="00D577E1" w:rsidRPr="009578E0">
        <w:rPr>
          <w:rFonts w:asciiTheme="majorHAnsi" w:hAnsiTheme="majorHAnsi" w:cs="Arial"/>
          <w:szCs w:val="26"/>
        </w:rPr>
        <w:t xml:space="preserve">-side market </w:t>
      </w:r>
      <w:r w:rsidR="003A2D22">
        <w:rPr>
          <w:rFonts w:asciiTheme="majorHAnsi" w:hAnsiTheme="majorHAnsi" w:cs="Arial"/>
          <w:szCs w:val="26"/>
        </w:rPr>
        <w:t xml:space="preserve">strategy </w:t>
      </w:r>
      <w:r w:rsidR="00D577E1" w:rsidRPr="009578E0">
        <w:rPr>
          <w:rFonts w:asciiTheme="majorHAnsi" w:hAnsiTheme="majorHAnsi" w:cs="Arial"/>
          <w:szCs w:val="26"/>
        </w:rPr>
        <w:t xml:space="preserve">where competition for funds </w:t>
      </w:r>
      <w:r w:rsidR="0045291A">
        <w:rPr>
          <w:rFonts w:asciiTheme="majorHAnsi" w:hAnsiTheme="majorHAnsi" w:cs="Arial"/>
          <w:szCs w:val="26"/>
        </w:rPr>
        <w:t xml:space="preserve">is now </w:t>
      </w:r>
      <w:r w:rsidR="00D577E1" w:rsidRPr="009578E0">
        <w:rPr>
          <w:rFonts w:asciiTheme="majorHAnsi" w:hAnsiTheme="majorHAnsi" w:cs="Arial"/>
          <w:szCs w:val="26"/>
        </w:rPr>
        <w:t>underpinned by a commitment to user-choice. As Seddon (2009) maintained</w:t>
      </w:r>
      <w:r>
        <w:rPr>
          <w:rFonts w:asciiTheme="majorHAnsi" w:hAnsiTheme="majorHAnsi" w:cs="Arial"/>
          <w:szCs w:val="26"/>
        </w:rPr>
        <w:t>, “</w:t>
      </w:r>
      <w:r w:rsidR="00D577E1" w:rsidRPr="009578E0">
        <w:rPr>
          <w:rFonts w:asciiTheme="majorHAnsi" w:hAnsiTheme="majorHAnsi" w:cs="Arial"/>
          <w:szCs w:val="26"/>
        </w:rPr>
        <w:t xml:space="preserve">A demand-driven structure organises buyers and </w:t>
      </w:r>
      <w:r w:rsidR="00D577E1" w:rsidRPr="009578E0">
        <w:rPr>
          <w:rFonts w:asciiTheme="majorHAnsi" w:hAnsiTheme="majorHAnsi" w:cs="Arial"/>
          <w:szCs w:val="26"/>
        </w:rPr>
        <w:lastRenderedPageBreak/>
        <w:t xml:space="preserve">sellers, who make choices about investing in training products”. The difficulty </w:t>
      </w:r>
      <w:r w:rsidR="00980064">
        <w:rPr>
          <w:rFonts w:asciiTheme="majorHAnsi" w:hAnsiTheme="majorHAnsi" w:cs="Arial"/>
          <w:szCs w:val="26"/>
        </w:rPr>
        <w:t xml:space="preserve">in both </w:t>
      </w:r>
      <w:r w:rsidR="00D577E1" w:rsidRPr="009578E0">
        <w:rPr>
          <w:rFonts w:asciiTheme="majorHAnsi" w:hAnsiTheme="majorHAnsi" w:cs="Arial"/>
          <w:szCs w:val="26"/>
        </w:rPr>
        <w:t>supply and demand focused market approaches is that not all providers have the capacity to produce and provide any or all training products and experiences</w:t>
      </w:r>
      <w:r w:rsidR="003A2D22">
        <w:rPr>
          <w:rFonts w:asciiTheme="majorHAnsi" w:hAnsiTheme="majorHAnsi" w:cs="Arial"/>
          <w:szCs w:val="26"/>
        </w:rPr>
        <w:t>;</w:t>
      </w:r>
      <w:r w:rsidR="00D577E1" w:rsidRPr="009578E0">
        <w:rPr>
          <w:rFonts w:asciiTheme="majorHAnsi" w:hAnsiTheme="majorHAnsi" w:cs="Arial"/>
          <w:szCs w:val="26"/>
        </w:rPr>
        <w:t xml:space="preserve"> and students </w:t>
      </w:r>
      <w:r w:rsidR="003A2D22">
        <w:rPr>
          <w:rFonts w:asciiTheme="majorHAnsi" w:hAnsiTheme="majorHAnsi" w:cs="Arial"/>
          <w:szCs w:val="26"/>
        </w:rPr>
        <w:t xml:space="preserve">on the </w:t>
      </w:r>
      <w:r w:rsidR="00980064">
        <w:rPr>
          <w:rFonts w:asciiTheme="majorHAnsi" w:hAnsiTheme="majorHAnsi" w:cs="Arial"/>
          <w:szCs w:val="26"/>
        </w:rPr>
        <w:t xml:space="preserve">other </w:t>
      </w:r>
      <w:r w:rsidR="003A2D22">
        <w:rPr>
          <w:rFonts w:asciiTheme="majorHAnsi" w:hAnsiTheme="majorHAnsi" w:cs="Arial"/>
          <w:szCs w:val="26"/>
        </w:rPr>
        <w:t xml:space="preserve">hand </w:t>
      </w:r>
      <w:r w:rsidR="00D577E1" w:rsidRPr="009578E0">
        <w:rPr>
          <w:rFonts w:asciiTheme="majorHAnsi" w:hAnsiTheme="majorHAnsi" w:cs="Arial"/>
          <w:szCs w:val="26"/>
        </w:rPr>
        <w:t>as consumers</w:t>
      </w:r>
      <w:r w:rsidR="003A2D22">
        <w:rPr>
          <w:rFonts w:asciiTheme="majorHAnsi" w:hAnsiTheme="majorHAnsi" w:cs="Arial"/>
          <w:szCs w:val="26"/>
        </w:rPr>
        <w:t xml:space="preserve">, </w:t>
      </w:r>
      <w:r w:rsidR="00FB69B7">
        <w:rPr>
          <w:rFonts w:asciiTheme="majorHAnsi" w:hAnsiTheme="majorHAnsi" w:cs="Arial"/>
          <w:szCs w:val="26"/>
        </w:rPr>
        <w:t xml:space="preserve">are all different and in turn </w:t>
      </w:r>
      <w:r w:rsidR="00D577E1" w:rsidRPr="009578E0">
        <w:rPr>
          <w:rFonts w:asciiTheme="majorHAnsi" w:hAnsiTheme="majorHAnsi" w:cs="Arial"/>
          <w:szCs w:val="26"/>
        </w:rPr>
        <w:t xml:space="preserve">are seeking </w:t>
      </w:r>
      <w:r w:rsidR="0045291A">
        <w:rPr>
          <w:rFonts w:asciiTheme="majorHAnsi" w:hAnsiTheme="majorHAnsi" w:cs="Arial"/>
          <w:szCs w:val="26"/>
        </w:rPr>
        <w:t xml:space="preserve">diverse </w:t>
      </w:r>
      <w:r w:rsidR="00D577E1" w:rsidRPr="009578E0">
        <w:rPr>
          <w:rFonts w:asciiTheme="majorHAnsi" w:hAnsiTheme="majorHAnsi" w:cs="Arial"/>
          <w:szCs w:val="26"/>
        </w:rPr>
        <w:t xml:space="preserve">options and choices </w:t>
      </w:r>
      <w:r w:rsidR="0045291A">
        <w:rPr>
          <w:rFonts w:asciiTheme="majorHAnsi" w:hAnsiTheme="majorHAnsi" w:cs="Arial"/>
          <w:szCs w:val="26"/>
        </w:rPr>
        <w:t xml:space="preserve">for a range of purposes </w:t>
      </w:r>
      <w:r w:rsidR="00FC6908">
        <w:rPr>
          <w:rFonts w:asciiTheme="majorHAnsi" w:hAnsiTheme="majorHAnsi" w:cs="Arial"/>
          <w:szCs w:val="26"/>
        </w:rPr>
        <w:t>in situations</w:t>
      </w:r>
      <w:r w:rsidR="00FB69B7">
        <w:rPr>
          <w:rFonts w:asciiTheme="majorHAnsi" w:hAnsiTheme="majorHAnsi" w:cs="Arial"/>
          <w:szCs w:val="26"/>
        </w:rPr>
        <w:t xml:space="preserve">. </w:t>
      </w:r>
      <w:r w:rsidR="00D577E1">
        <w:rPr>
          <w:rFonts w:asciiTheme="majorHAnsi" w:hAnsiTheme="majorHAnsi" w:cs="Arial"/>
          <w:szCs w:val="26"/>
        </w:rPr>
        <w:t>Coope</w:t>
      </w:r>
      <w:r w:rsidR="003A2D22">
        <w:rPr>
          <w:rFonts w:asciiTheme="majorHAnsi" w:hAnsiTheme="majorHAnsi" w:cs="Arial"/>
          <w:szCs w:val="26"/>
        </w:rPr>
        <w:t xml:space="preserve">ration is imperative in </w:t>
      </w:r>
      <w:r w:rsidR="00980064">
        <w:rPr>
          <w:rFonts w:asciiTheme="majorHAnsi" w:hAnsiTheme="majorHAnsi" w:cs="Arial"/>
          <w:szCs w:val="26"/>
        </w:rPr>
        <w:t xml:space="preserve">both supply-side and </w:t>
      </w:r>
      <w:r w:rsidR="003A2D22">
        <w:rPr>
          <w:rFonts w:asciiTheme="majorHAnsi" w:hAnsiTheme="majorHAnsi" w:cs="Arial"/>
          <w:szCs w:val="26"/>
        </w:rPr>
        <w:t>demand-</w:t>
      </w:r>
      <w:r w:rsidR="00D577E1">
        <w:rPr>
          <w:rFonts w:asciiTheme="majorHAnsi" w:hAnsiTheme="majorHAnsi" w:cs="Arial"/>
          <w:szCs w:val="26"/>
        </w:rPr>
        <w:t xml:space="preserve">driven structures </w:t>
      </w:r>
      <w:r w:rsidR="00980064">
        <w:rPr>
          <w:rFonts w:asciiTheme="majorHAnsi" w:hAnsiTheme="majorHAnsi" w:cs="Arial"/>
          <w:szCs w:val="26"/>
        </w:rPr>
        <w:t xml:space="preserve">yet is important for </w:t>
      </w:r>
      <w:r w:rsidR="00D577E1">
        <w:rPr>
          <w:rFonts w:asciiTheme="majorHAnsi" w:hAnsiTheme="majorHAnsi" w:cs="Arial"/>
          <w:szCs w:val="26"/>
        </w:rPr>
        <w:t>buyers or consum</w:t>
      </w:r>
      <w:r>
        <w:rPr>
          <w:rFonts w:asciiTheme="majorHAnsi" w:hAnsiTheme="majorHAnsi" w:cs="Arial"/>
          <w:szCs w:val="26"/>
        </w:rPr>
        <w:t>er</w:t>
      </w:r>
      <w:r w:rsidR="00D577E1">
        <w:rPr>
          <w:rFonts w:asciiTheme="majorHAnsi" w:hAnsiTheme="majorHAnsi" w:cs="Arial"/>
          <w:szCs w:val="26"/>
        </w:rPr>
        <w:t xml:space="preserve">s </w:t>
      </w:r>
      <w:r w:rsidR="00980064">
        <w:rPr>
          <w:rFonts w:asciiTheme="majorHAnsi" w:hAnsiTheme="majorHAnsi" w:cs="Arial"/>
          <w:szCs w:val="26"/>
        </w:rPr>
        <w:t xml:space="preserve">who </w:t>
      </w:r>
      <w:r>
        <w:rPr>
          <w:rFonts w:asciiTheme="majorHAnsi" w:hAnsiTheme="majorHAnsi" w:cs="Arial"/>
          <w:szCs w:val="26"/>
        </w:rPr>
        <w:t xml:space="preserve">with the right information </w:t>
      </w:r>
      <w:r w:rsidR="00FB69B7">
        <w:rPr>
          <w:rFonts w:asciiTheme="majorHAnsi" w:hAnsiTheme="majorHAnsi" w:cs="Arial"/>
          <w:szCs w:val="26"/>
        </w:rPr>
        <w:t xml:space="preserve">can </w:t>
      </w:r>
      <w:r>
        <w:rPr>
          <w:rFonts w:asciiTheme="majorHAnsi" w:hAnsiTheme="majorHAnsi" w:cs="Arial"/>
          <w:szCs w:val="26"/>
        </w:rPr>
        <w:t xml:space="preserve">access and have reasonable </w:t>
      </w:r>
      <w:r w:rsidR="00D577E1">
        <w:rPr>
          <w:rFonts w:asciiTheme="majorHAnsi" w:hAnsiTheme="majorHAnsi" w:cs="Arial"/>
          <w:szCs w:val="26"/>
        </w:rPr>
        <w:t>trust in a market</w:t>
      </w:r>
      <w:r>
        <w:rPr>
          <w:rFonts w:asciiTheme="majorHAnsi" w:hAnsiTheme="majorHAnsi" w:cs="Arial"/>
          <w:szCs w:val="26"/>
        </w:rPr>
        <w:t xml:space="preserve"> that </w:t>
      </w:r>
      <w:r w:rsidR="003A2D22">
        <w:rPr>
          <w:rFonts w:asciiTheme="majorHAnsi" w:hAnsiTheme="majorHAnsi" w:cs="Arial"/>
          <w:szCs w:val="26"/>
        </w:rPr>
        <w:t xml:space="preserve">can and </w:t>
      </w:r>
      <w:r>
        <w:rPr>
          <w:rFonts w:asciiTheme="majorHAnsi" w:hAnsiTheme="majorHAnsi" w:cs="Arial"/>
          <w:szCs w:val="26"/>
        </w:rPr>
        <w:t xml:space="preserve">will </w:t>
      </w:r>
      <w:r w:rsidR="003A2D22">
        <w:rPr>
          <w:rFonts w:asciiTheme="majorHAnsi" w:hAnsiTheme="majorHAnsi" w:cs="Arial"/>
          <w:szCs w:val="26"/>
        </w:rPr>
        <w:t xml:space="preserve">be able to respond by </w:t>
      </w:r>
      <w:r>
        <w:rPr>
          <w:rFonts w:asciiTheme="majorHAnsi" w:hAnsiTheme="majorHAnsi" w:cs="Arial"/>
          <w:szCs w:val="26"/>
        </w:rPr>
        <w:t>provid</w:t>
      </w:r>
      <w:r w:rsidR="003A2D22">
        <w:rPr>
          <w:rFonts w:asciiTheme="majorHAnsi" w:hAnsiTheme="majorHAnsi" w:cs="Arial"/>
          <w:szCs w:val="26"/>
        </w:rPr>
        <w:t xml:space="preserve">ing </w:t>
      </w:r>
      <w:r>
        <w:rPr>
          <w:rFonts w:asciiTheme="majorHAnsi" w:hAnsiTheme="majorHAnsi" w:cs="Arial"/>
          <w:szCs w:val="26"/>
        </w:rPr>
        <w:t>or deliver</w:t>
      </w:r>
      <w:r w:rsidR="003A2D22">
        <w:rPr>
          <w:rFonts w:asciiTheme="majorHAnsi" w:hAnsiTheme="majorHAnsi" w:cs="Arial"/>
          <w:szCs w:val="26"/>
        </w:rPr>
        <w:t>ing</w:t>
      </w:r>
      <w:r>
        <w:rPr>
          <w:rFonts w:asciiTheme="majorHAnsi" w:hAnsiTheme="majorHAnsi" w:cs="Arial"/>
          <w:szCs w:val="26"/>
        </w:rPr>
        <w:t xml:space="preserve"> what is being sought</w:t>
      </w:r>
      <w:r w:rsidR="00D577E1">
        <w:rPr>
          <w:rFonts w:asciiTheme="majorHAnsi" w:hAnsiTheme="majorHAnsi" w:cs="Arial"/>
          <w:szCs w:val="26"/>
        </w:rPr>
        <w:t xml:space="preserve">. </w:t>
      </w:r>
    </w:p>
    <w:p w14:paraId="2DAF6751" w14:textId="77777777" w:rsidR="004F40D4" w:rsidRDefault="004F40D4" w:rsidP="00C65BC9">
      <w:pPr>
        <w:jc w:val="both"/>
        <w:rPr>
          <w:rFonts w:asciiTheme="majorHAnsi" w:hAnsiTheme="majorHAnsi" w:cs="Arial"/>
          <w:szCs w:val="26"/>
        </w:rPr>
      </w:pPr>
    </w:p>
    <w:p w14:paraId="3D1B63FF" w14:textId="77777777" w:rsidR="00D577E1" w:rsidRDefault="004F40D4" w:rsidP="00C65BC9">
      <w:pPr>
        <w:jc w:val="both"/>
        <w:rPr>
          <w:rFonts w:asciiTheme="majorHAnsi" w:hAnsiTheme="majorHAnsi" w:cs="Arial"/>
          <w:szCs w:val="26"/>
        </w:rPr>
      </w:pPr>
      <w:r>
        <w:rPr>
          <w:rFonts w:asciiTheme="majorHAnsi" w:hAnsiTheme="majorHAnsi" w:cs="Arial"/>
          <w:sz w:val="28"/>
          <w:szCs w:val="26"/>
        </w:rPr>
        <w:t>Consumer protections and cooperation</w:t>
      </w:r>
    </w:p>
    <w:p w14:paraId="5ED7F1BF" w14:textId="77777777" w:rsidR="00570190" w:rsidRDefault="00C65BC9" w:rsidP="00C65BC9">
      <w:pPr>
        <w:jc w:val="both"/>
        <w:rPr>
          <w:rFonts w:asciiTheme="majorHAnsi" w:hAnsiTheme="majorHAnsi" w:cs="Arial"/>
          <w:szCs w:val="26"/>
        </w:rPr>
      </w:pPr>
      <w:r w:rsidRPr="009578E0">
        <w:rPr>
          <w:rFonts w:asciiTheme="majorHAnsi" w:hAnsiTheme="majorHAnsi" w:cs="Arial"/>
          <w:szCs w:val="26"/>
        </w:rPr>
        <w:t>In</w:t>
      </w:r>
      <w:r w:rsidR="00FC6908">
        <w:rPr>
          <w:rFonts w:asciiTheme="majorHAnsi" w:hAnsiTheme="majorHAnsi" w:cs="Arial"/>
          <w:szCs w:val="26"/>
        </w:rPr>
        <w:t xml:space="preserve">stituting </w:t>
      </w:r>
      <w:r w:rsidRPr="009578E0">
        <w:rPr>
          <w:rFonts w:asciiTheme="majorHAnsi" w:hAnsiTheme="majorHAnsi" w:cs="Arial"/>
          <w:szCs w:val="26"/>
        </w:rPr>
        <w:t xml:space="preserve">the precept of cooperation to underpin </w:t>
      </w:r>
      <w:r w:rsidR="00980064">
        <w:rPr>
          <w:rFonts w:asciiTheme="majorHAnsi" w:hAnsiTheme="majorHAnsi" w:cs="Arial"/>
          <w:szCs w:val="26"/>
        </w:rPr>
        <w:t xml:space="preserve">a VET market/system </w:t>
      </w:r>
      <w:r w:rsidR="00FC6908">
        <w:rPr>
          <w:rFonts w:asciiTheme="majorHAnsi" w:hAnsiTheme="majorHAnsi" w:cs="Arial"/>
          <w:szCs w:val="26"/>
        </w:rPr>
        <w:t xml:space="preserve">would bolster </w:t>
      </w:r>
      <w:r w:rsidRPr="009578E0">
        <w:rPr>
          <w:rFonts w:asciiTheme="majorHAnsi" w:hAnsiTheme="majorHAnsi" w:cs="Arial"/>
          <w:szCs w:val="26"/>
        </w:rPr>
        <w:t xml:space="preserve">consumer protections </w:t>
      </w:r>
      <w:r w:rsidR="00A571B7">
        <w:rPr>
          <w:rFonts w:asciiTheme="majorHAnsi" w:hAnsiTheme="majorHAnsi" w:cs="Arial"/>
          <w:szCs w:val="26"/>
        </w:rPr>
        <w:t xml:space="preserve">in ways that do not presently exist. </w:t>
      </w:r>
      <w:r w:rsidR="00FC6908">
        <w:rPr>
          <w:rFonts w:asciiTheme="majorHAnsi" w:hAnsiTheme="majorHAnsi" w:cs="Arial"/>
          <w:szCs w:val="26"/>
        </w:rPr>
        <w:t xml:space="preserve">When there is choice and competition without cooperation there can be no guarantees of quality. </w:t>
      </w:r>
      <w:r w:rsidR="00A526F4">
        <w:rPr>
          <w:rFonts w:asciiTheme="majorHAnsi" w:hAnsiTheme="majorHAnsi" w:cs="Arial"/>
          <w:szCs w:val="26"/>
        </w:rPr>
        <w:t xml:space="preserve">Underpinning </w:t>
      </w:r>
      <w:r w:rsidR="00FC6908">
        <w:rPr>
          <w:rFonts w:asciiTheme="majorHAnsi" w:hAnsiTheme="majorHAnsi" w:cs="Arial"/>
          <w:szCs w:val="26"/>
        </w:rPr>
        <w:t xml:space="preserve">the </w:t>
      </w:r>
      <w:r w:rsidR="00A571B7">
        <w:rPr>
          <w:rFonts w:asciiTheme="majorHAnsi" w:hAnsiTheme="majorHAnsi" w:cs="Arial"/>
          <w:szCs w:val="26"/>
        </w:rPr>
        <w:t xml:space="preserve">possibilities </w:t>
      </w:r>
      <w:r w:rsidR="00FC6908">
        <w:rPr>
          <w:rFonts w:asciiTheme="majorHAnsi" w:hAnsiTheme="majorHAnsi" w:cs="Arial"/>
          <w:szCs w:val="26"/>
        </w:rPr>
        <w:t xml:space="preserve">of </w:t>
      </w:r>
      <w:r w:rsidR="00A526F4">
        <w:rPr>
          <w:rFonts w:asciiTheme="majorHAnsi" w:hAnsiTheme="majorHAnsi" w:cs="Arial"/>
          <w:szCs w:val="26"/>
        </w:rPr>
        <w:t xml:space="preserve">cooperation in </w:t>
      </w:r>
      <w:r w:rsidR="00FB69B7">
        <w:rPr>
          <w:rFonts w:asciiTheme="majorHAnsi" w:hAnsiTheme="majorHAnsi" w:cs="Arial"/>
          <w:szCs w:val="26"/>
        </w:rPr>
        <w:t xml:space="preserve">an </w:t>
      </w:r>
      <w:r w:rsidR="00A526F4">
        <w:rPr>
          <w:rFonts w:asciiTheme="majorHAnsi" w:hAnsiTheme="majorHAnsi" w:cs="Arial"/>
          <w:szCs w:val="26"/>
        </w:rPr>
        <w:t>education market</w:t>
      </w:r>
      <w:r w:rsidR="00FB69B7">
        <w:rPr>
          <w:rFonts w:asciiTheme="majorHAnsi" w:hAnsiTheme="majorHAnsi" w:cs="Arial"/>
          <w:szCs w:val="26"/>
        </w:rPr>
        <w:t xml:space="preserve"> like that operating in Victoria </w:t>
      </w:r>
      <w:r w:rsidR="00FC6908">
        <w:rPr>
          <w:rFonts w:asciiTheme="majorHAnsi" w:hAnsiTheme="majorHAnsi" w:cs="Arial"/>
          <w:szCs w:val="26"/>
        </w:rPr>
        <w:t xml:space="preserve">is </w:t>
      </w:r>
      <w:r w:rsidR="00A526F4">
        <w:rPr>
          <w:rFonts w:asciiTheme="majorHAnsi" w:hAnsiTheme="majorHAnsi" w:cs="Arial"/>
          <w:szCs w:val="26"/>
        </w:rPr>
        <w:t>th</w:t>
      </w:r>
      <w:r w:rsidR="00A571B7">
        <w:rPr>
          <w:rFonts w:asciiTheme="majorHAnsi" w:hAnsiTheme="majorHAnsi" w:cs="Arial"/>
          <w:szCs w:val="26"/>
        </w:rPr>
        <w:t xml:space="preserve">e recognition and acceptance that </w:t>
      </w:r>
      <w:r w:rsidR="00A526F4">
        <w:rPr>
          <w:rFonts w:asciiTheme="majorHAnsi" w:hAnsiTheme="majorHAnsi" w:cs="Arial"/>
          <w:szCs w:val="26"/>
        </w:rPr>
        <w:t xml:space="preserve">suppliers have distinctive characteristics and are diverse in character and </w:t>
      </w:r>
      <w:r w:rsidR="00446384">
        <w:rPr>
          <w:rFonts w:asciiTheme="majorHAnsi" w:hAnsiTheme="majorHAnsi" w:cs="Arial"/>
          <w:szCs w:val="26"/>
        </w:rPr>
        <w:t xml:space="preserve">therefore in </w:t>
      </w:r>
      <w:r w:rsidR="00A526F4">
        <w:rPr>
          <w:rFonts w:asciiTheme="majorHAnsi" w:hAnsiTheme="majorHAnsi" w:cs="Arial"/>
          <w:szCs w:val="26"/>
        </w:rPr>
        <w:t xml:space="preserve">what they </w:t>
      </w:r>
      <w:r w:rsidR="00A571B7">
        <w:rPr>
          <w:rFonts w:asciiTheme="majorHAnsi" w:hAnsiTheme="majorHAnsi" w:cs="Arial"/>
          <w:szCs w:val="26"/>
        </w:rPr>
        <w:t xml:space="preserve">can </w:t>
      </w:r>
      <w:r w:rsidR="00A526F4">
        <w:rPr>
          <w:rFonts w:asciiTheme="majorHAnsi" w:hAnsiTheme="majorHAnsi" w:cs="Arial"/>
          <w:szCs w:val="26"/>
        </w:rPr>
        <w:t xml:space="preserve">supply to purchasers. </w:t>
      </w:r>
      <w:r w:rsidR="00A571B7">
        <w:rPr>
          <w:rFonts w:asciiTheme="majorHAnsi" w:hAnsiTheme="majorHAnsi" w:cs="Arial"/>
          <w:szCs w:val="26"/>
        </w:rPr>
        <w:t xml:space="preserve">On the demand-side, consumers as existing and prospective students and those industries and employers that recruit </w:t>
      </w:r>
      <w:r w:rsidR="00446384">
        <w:rPr>
          <w:rFonts w:asciiTheme="majorHAnsi" w:hAnsiTheme="majorHAnsi" w:cs="Arial"/>
          <w:szCs w:val="26"/>
        </w:rPr>
        <w:t xml:space="preserve">VET graduates </w:t>
      </w:r>
      <w:r w:rsidR="00FC6908">
        <w:rPr>
          <w:rFonts w:asciiTheme="majorHAnsi" w:hAnsiTheme="majorHAnsi" w:cs="Arial"/>
          <w:szCs w:val="26"/>
        </w:rPr>
        <w:t xml:space="preserve">would </w:t>
      </w:r>
      <w:r w:rsidR="00FB69B7">
        <w:rPr>
          <w:rFonts w:asciiTheme="majorHAnsi" w:hAnsiTheme="majorHAnsi" w:cs="Arial"/>
          <w:szCs w:val="26"/>
        </w:rPr>
        <w:t xml:space="preserve">therefore </w:t>
      </w:r>
      <w:r w:rsidR="00FC6908">
        <w:rPr>
          <w:rFonts w:asciiTheme="majorHAnsi" w:hAnsiTheme="majorHAnsi" w:cs="Arial"/>
          <w:szCs w:val="26"/>
        </w:rPr>
        <w:t xml:space="preserve">be </w:t>
      </w:r>
      <w:r w:rsidR="00A571B7">
        <w:rPr>
          <w:rFonts w:asciiTheme="majorHAnsi" w:hAnsiTheme="majorHAnsi" w:cs="Arial"/>
          <w:szCs w:val="26"/>
        </w:rPr>
        <w:t>better p</w:t>
      </w:r>
      <w:r w:rsidR="00FC6908">
        <w:rPr>
          <w:rFonts w:asciiTheme="majorHAnsi" w:hAnsiTheme="majorHAnsi" w:cs="Arial"/>
          <w:szCs w:val="26"/>
        </w:rPr>
        <w:t xml:space="preserve">ositioned </w:t>
      </w:r>
      <w:r w:rsidR="00A571B7">
        <w:rPr>
          <w:rFonts w:asciiTheme="majorHAnsi" w:hAnsiTheme="majorHAnsi" w:cs="Arial"/>
          <w:szCs w:val="26"/>
        </w:rPr>
        <w:t xml:space="preserve">to have trust in the </w:t>
      </w:r>
      <w:r w:rsidR="00FB69B7">
        <w:rPr>
          <w:rFonts w:asciiTheme="majorHAnsi" w:hAnsiTheme="majorHAnsi" w:cs="Arial"/>
          <w:szCs w:val="26"/>
        </w:rPr>
        <w:t>‘</w:t>
      </w:r>
      <w:r w:rsidR="00446384">
        <w:rPr>
          <w:rFonts w:asciiTheme="majorHAnsi" w:hAnsiTheme="majorHAnsi" w:cs="Arial"/>
          <w:szCs w:val="26"/>
        </w:rPr>
        <w:t>good will</w:t>
      </w:r>
      <w:r w:rsidR="00FB69B7">
        <w:rPr>
          <w:rFonts w:asciiTheme="majorHAnsi" w:hAnsiTheme="majorHAnsi" w:cs="Arial"/>
          <w:szCs w:val="26"/>
        </w:rPr>
        <w:t>’</w:t>
      </w:r>
      <w:r w:rsidR="00A571B7">
        <w:rPr>
          <w:rFonts w:asciiTheme="majorHAnsi" w:hAnsiTheme="majorHAnsi" w:cs="Arial"/>
          <w:szCs w:val="26"/>
        </w:rPr>
        <w:t xml:space="preserve"> inherent in such a market/system. </w:t>
      </w:r>
      <w:r w:rsidR="00FC6908">
        <w:rPr>
          <w:rFonts w:asciiTheme="majorHAnsi" w:hAnsiTheme="majorHAnsi" w:cs="Arial"/>
          <w:szCs w:val="26"/>
        </w:rPr>
        <w:t>C</w:t>
      </w:r>
      <w:r w:rsidR="00FC6908" w:rsidRPr="009578E0">
        <w:rPr>
          <w:rFonts w:asciiTheme="majorHAnsi" w:hAnsiTheme="majorHAnsi" w:cs="Arial"/>
          <w:szCs w:val="26"/>
        </w:rPr>
        <w:t>ritical sociologies</w:t>
      </w:r>
      <w:r w:rsidR="00FC6908">
        <w:rPr>
          <w:rFonts w:asciiTheme="majorHAnsi" w:hAnsiTheme="majorHAnsi" w:cs="Arial"/>
          <w:szCs w:val="26"/>
        </w:rPr>
        <w:t xml:space="preserve"> (Sennett, 2012, Bauman, 2000)</w:t>
      </w:r>
      <w:r w:rsidR="00FC6908" w:rsidRPr="009578E0">
        <w:rPr>
          <w:rFonts w:asciiTheme="majorHAnsi" w:hAnsiTheme="majorHAnsi" w:cs="Arial"/>
          <w:szCs w:val="26"/>
        </w:rPr>
        <w:t xml:space="preserve"> </w:t>
      </w:r>
      <w:r w:rsidR="00FC6908">
        <w:rPr>
          <w:rFonts w:asciiTheme="majorHAnsi" w:hAnsiTheme="majorHAnsi" w:cs="Arial"/>
          <w:szCs w:val="26"/>
        </w:rPr>
        <w:t xml:space="preserve">have theorised </w:t>
      </w:r>
      <w:r w:rsidR="00FC6908" w:rsidRPr="009578E0">
        <w:rPr>
          <w:rFonts w:asciiTheme="majorHAnsi" w:hAnsiTheme="majorHAnsi" w:cs="Arial"/>
          <w:szCs w:val="26"/>
        </w:rPr>
        <w:t xml:space="preserve">that mutual cooperation and competition can be combined. </w:t>
      </w:r>
      <w:r w:rsidR="00FB69B7">
        <w:rPr>
          <w:rFonts w:asciiTheme="majorHAnsi" w:hAnsiTheme="majorHAnsi" w:cs="Arial"/>
          <w:szCs w:val="26"/>
        </w:rPr>
        <w:t>In p</w:t>
      </w:r>
      <w:r w:rsidR="00A571B7">
        <w:rPr>
          <w:rFonts w:asciiTheme="majorHAnsi" w:hAnsiTheme="majorHAnsi" w:cs="Arial"/>
          <w:szCs w:val="26"/>
        </w:rPr>
        <w:t xml:space="preserve">articular </w:t>
      </w:r>
      <w:r w:rsidR="00FB69B7">
        <w:rPr>
          <w:rFonts w:asciiTheme="majorHAnsi" w:hAnsiTheme="majorHAnsi" w:cs="Arial"/>
          <w:szCs w:val="26"/>
        </w:rPr>
        <w:t xml:space="preserve">these sociologies underline that </w:t>
      </w:r>
      <w:r w:rsidRPr="009578E0">
        <w:rPr>
          <w:rFonts w:asciiTheme="majorHAnsi" w:hAnsiTheme="majorHAnsi" w:cs="Arial"/>
          <w:szCs w:val="26"/>
        </w:rPr>
        <w:t xml:space="preserve">cooperation </w:t>
      </w:r>
      <w:r w:rsidR="00FB69B7">
        <w:rPr>
          <w:rFonts w:asciiTheme="majorHAnsi" w:hAnsiTheme="majorHAnsi" w:cs="Arial"/>
          <w:szCs w:val="26"/>
        </w:rPr>
        <w:t xml:space="preserve">involves </w:t>
      </w:r>
      <w:r w:rsidRPr="009578E0">
        <w:rPr>
          <w:rFonts w:asciiTheme="majorHAnsi" w:hAnsiTheme="majorHAnsi" w:cs="Arial"/>
          <w:szCs w:val="26"/>
        </w:rPr>
        <w:t>f</w:t>
      </w:r>
      <w:r w:rsidR="00A571B7">
        <w:rPr>
          <w:rFonts w:asciiTheme="majorHAnsi" w:hAnsiTheme="majorHAnsi" w:cs="Arial"/>
          <w:szCs w:val="26"/>
        </w:rPr>
        <w:t>orms of exchange</w:t>
      </w:r>
      <w:r w:rsidRPr="009578E0">
        <w:rPr>
          <w:rFonts w:asciiTheme="majorHAnsi" w:hAnsiTheme="majorHAnsi" w:cs="Arial"/>
          <w:szCs w:val="26"/>
        </w:rPr>
        <w:t>. For Sennett</w:t>
      </w:r>
      <w:r w:rsidR="00A571B7">
        <w:rPr>
          <w:rFonts w:asciiTheme="majorHAnsi" w:hAnsiTheme="majorHAnsi" w:cs="Arial"/>
          <w:szCs w:val="26"/>
        </w:rPr>
        <w:t xml:space="preserve"> (2012)</w:t>
      </w:r>
      <w:r w:rsidRPr="009578E0">
        <w:rPr>
          <w:rFonts w:asciiTheme="majorHAnsi" w:hAnsiTheme="majorHAnsi" w:cs="Arial"/>
          <w:szCs w:val="26"/>
        </w:rPr>
        <w:t xml:space="preserve"> cooperation is premised upon a spectrum of exchanges. This spectrum is made up of five different types of exchange; altruistic, win-win, differentiating, zero-sum and winner- takes-all</w:t>
      </w:r>
      <w:r w:rsidR="00A526F4">
        <w:rPr>
          <w:rFonts w:asciiTheme="majorHAnsi" w:hAnsiTheme="majorHAnsi" w:cs="Arial"/>
          <w:szCs w:val="26"/>
        </w:rPr>
        <w:t xml:space="preserve">. </w:t>
      </w:r>
    </w:p>
    <w:p w14:paraId="1D620A80" w14:textId="77777777" w:rsidR="00570190" w:rsidRDefault="00570190" w:rsidP="00C65BC9">
      <w:pPr>
        <w:jc w:val="both"/>
        <w:rPr>
          <w:rFonts w:asciiTheme="majorHAnsi" w:hAnsiTheme="majorHAnsi" w:cs="Arial"/>
          <w:szCs w:val="26"/>
        </w:rPr>
      </w:pPr>
    </w:p>
    <w:p w14:paraId="5539895F" w14:textId="77777777" w:rsidR="008F4BBD" w:rsidRDefault="00A526F4" w:rsidP="00C65BC9">
      <w:pPr>
        <w:jc w:val="both"/>
        <w:rPr>
          <w:rFonts w:asciiTheme="majorHAnsi" w:hAnsiTheme="majorHAnsi" w:cs="Arial"/>
          <w:szCs w:val="26"/>
        </w:rPr>
      </w:pPr>
      <w:r>
        <w:rPr>
          <w:rFonts w:asciiTheme="majorHAnsi" w:hAnsiTheme="majorHAnsi" w:cs="Arial"/>
          <w:szCs w:val="26"/>
        </w:rPr>
        <w:t xml:space="preserve">Altruism is concerned with gift </w:t>
      </w:r>
      <w:r w:rsidR="00C65BC9" w:rsidRPr="009578E0">
        <w:rPr>
          <w:rFonts w:asciiTheme="majorHAnsi" w:hAnsiTheme="majorHAnsi" w:cs="Arial"/>
          <w:szCs w:val="26"/>
        </w:rPr>
        <w:t>giving for selfless reasons</w:t>
      </w:r>
      <w:r>
        <w:rPr>
          <w:rFonts w:asciiTheme="majorHAnsi" w:hAnsiTheme="majorHAnsi" w:cs="Arial"/>
          <w:szCs w:val="26"/>
        </w:rPr>
        <w:t xml:space="preserve"> and purposes</w:t>
      </w:r>
      <w:r w:rsidR="00C65BC9" w:rsidRPr="009578E0">
        <w:rPr>
          <w:rFonts w:asciiTheme="majorHAnsi" w:hAnsiTheme="majorHAnsi" w:cs="Arial"/>
          <w:szCs w:val="26"/>
        </w:rPr>
        <w:t xml:space="preserve">, win-win </w:t>
      </w:r>
      <w:r w:rsidR="00FC6908">
        <w:rPr>
          <w:rFonts w:asciiTheme="majorHAnsi" w:hAnsiTheme="majorHAnsi" w:cs="Arial"/>
          <w:szCs w:val="26"/>
        </w:rPr>
        <w:t xml:space="preserve">exchanges </w:t>
      </w:r>
      <w:r w:rsidR="00C65BC9" w:rsidRPr="009578E0">
        <w:rPr>
          <w:rFonts w:asciiTheme="majorHAnsi" w:hAnsiTheme="majorHAnsi" w:cs="Arial"/>
          <w:szCs w:val="26"/>
        </w:rPr>
        <w:t xml:space="preserve">are more reciprocal where efforts and benefits are shared </w:t>
      </w:r>
      <w:r w:rsidR="00FC6908">
        <w:rPr>
          <w:rFonts w:asciiTheme="majorHAnsi" w:hAnsiTheme="majorHAnsi" w:cs="Arial"/>
          <w:szCs w:val="26"/>
        </w:rPr>
        <w:t>by</w:t>
      </w:r>
      <w:r w:rsidR="00C65BC9" w:rsidRPr="009578E0">
        <w:rPr>
          <w:rFonts w:asciiTheme="majorHAnsi" w:hAnsiTheme="majorHAnsi" w:cs="Arial"/>
          <w:szCs w:val="26"/>
        </w:rPr>
        <w:t xml:space="preserve"> all parties gain. The differentiating </w:t>
      </w:r>
      <w:r w:rsidR="00FC6908" w:rsidRPr="009578E0">
        <w:rPr>
          <w:rFonts w:asciiTheme="majorHAnsi" w:hAnsiTheme="majorHAnsi" w:cs="Arial"/>
          <w:szCs w:val="26"/>
        </w:rPr>
        <w:t>exchange</w:t>
      </w:r>
      <w:r w:rsidR="00FC6908">
        <w:rPr>
          <w:rFonts w:asciiTheme="majorHAnsi" w:hAnsiTheme="majorHAnsi" w:cs="Arial"/>
          <w:szCs w:val="26"/>
        </w:rPr>
        <w:t xml:space="preserve"> involves</w:t>
      </w:r>
      <w:r w:rsidR="00C65BC9" w:rsidRPr="009578E0">
        <w:rPr>
          <w:rFonts w:asciiTheme="majorHAnsi" w:hAnsiTheme="majorHAnsi" w:cs="Arial"/>
          <w:szCs w:val="26"/>
        </w:rPr>
        <w:t xml:space="preserve"> the establishment of territories and the definition of borders or zones of practice and activity. </w:t>
      </w:r>
      <w:r w:rsidR="00FC6908">
        <w:rPr>
          <w:rFonts w:asciiTheme="majorHAnsi" w:hAnsiTheme="majorHAnsi" w:cs="Arial"/>
          <w:szCs w:val="26"/>
        </w:rPr>
        <w:t>Through these forms of exchange cooperation is based on d</w:t>
      </w:r>
      <w:r w:rsidR="00C65BC9" w:rsidRPr="009578E0">
        <w:rPr>
          <w:rFonts w:asciiTheme="majorHAnsi" w:hAnsiTheme="majorHAnsi" w:cs="Arial"/>
          <w:szCs w:val="26"/>
        </w:rPr>
        <w:t>ifference</w:t>
      </w:r>
      <w:r w:rsidR="00FC6908">
        <w:rPr>
          <w:rFonts w:asciiTheme="majorHAnsi" w:hAnsiTheme="majorHAnsi" w:cs="Arial"/>
          <w:szCs w:val="26"/>
        </w:rPr>
        <w:t>s</w:t>
      </w:r>
      <w:r w:rsidR="00C65BC9" w:rsidRPr="009578E0">
        <w:rPr>
          <w:rFonts w:asciiTheme="majorHAnsi" w:hAnsiTheme="majorHAnsi" w:cs="Arial"/>
          <w:szCs w:val="26"/>
        </w:rPr>
        <w:t xml:space="preserve"> </w:t>
      </w:r>
      <w:r w:rsidR="00FC6908">
        <w:rPr>
          <w:rFonts w:asciiTheme="majorHAnsi" w:hAnsiTheme="majorHAnsi" w:cs="Arial"/>
          <w:szCs w:val="26"/>
        </w:rPr>
        <w:t xml:space="preserve">being </w:t>
      </w:r>
      <w:r w:rsidR="00C65BC9" w:rsidRPr="009578E0">
        <w:rPr>
          <w:rFonts w:asciiTheme="majorHAnsi" w:hAnsiTheme="majorHAnsi" w:cs="Arial"/>
          <w:szCs w:val="26"/>
        </w:rPr>
        <w:t xml:space="preserve">encountered without sustained animosity </w:t>
      </w:r>
      <w:r w:rsidR="00FC6908">
        <w:rPr>
          <w:rFonts w:asciiTheme="majorHAnsi" w:hAnsiTheme="majorHAnsi" w:cs="Arial"/>
          <w:szCs w:val="26"/>
        </w:rPr>
        <w:t xml:space="preserve">through </w:t>
      </w:r>
      <w:r w:rsidR="00C65BC9" w:rsidRPr="009578E0">
        <w:rPr>
          <w:rFonts w:asciiTheme="majorHAnsi" w:hAnsiTheme="majorHAnsi" w:cs="Arial"/>
          <w:szCs w:val="26"/>
        </w:rPr>
        <w:t>d</w:t>
      </w:r>
      <w:r>
        <w:rPr>
          <w:rFonts w:asciiTheme="majorHAnsi" w:hAnsiTheme="majorHAnsi" w:cs="Arial"/>
          <w:szCs w:val="26"/>
        </w:rPr>
        <w:t>ialogue and recognis</w:t>
      </w:r>
      <w:r w:rsidR="00C65BC9" w:rsidRPr="009578E0">
        <w:rPr>
          <w:rFonts w:asciiTheme="majorHAnsi" w:hAnsiTheme="majorHAnsi" w:cs="Arial"/>
          <w:szCs w:val="26"/>
        </w:rPr>
        <w:t>ing that e</w:t>
      </w:r>
      <w:r>
        <w:rPr>
          <w:rFonts w:asciiTheme="majorHAnsi" w:hAnsiTheme="majorHAnsi" w:cs="Arial"/>
          <w:szCs w:val="26"/>
        </w:rPr>
        <w:t xml:space="preserve">ach party </w:t>
      </w:r>
      <w:r w:rsidR="00C65BC9" w:rsidRPr="009578E0">
        <w:rPr>
          <w:rFonts w:asciiTheme="majorHAnsi" w:hAnsiTheme="majorHAnsi" w:cs="Arial"/>
          <w:szCs w:val="26"/>
        </w:rPr>
        <w:t xml:space="preserve">has something to offer. Zero-sum exchanges involve gain </w:t>
      </w:r>
      <w:r w:rsidR="00570190">
        <w:rPr>
          <w:rFonts w:asciiTheme="majorHAnsi" w:hAnsiTheme="majorHAnsi" w:cs="Arial"/>
          <w:szCs w:val="26"/>
        </w:rPr>
        <w:t xml:space="preserve">at the expense of loss. </w:t>
      </w:r>
      <w:r w:rsidR="00C65BC9" w:rsidRPr="009578E0">
        <w:rPr>
          <w:rFonts w:asciiTheme="majorHAnsi" w:hAnsiTheme="majorHAnsi" w:cs="Arial"/>
          <w:szCs w:val="26"/>
        </w:rPr>
        <w:t>These win-lose scenarios are neither total nor absolute in that the winner always leaves something for the loser. The final form of exchange outlined by Sennett (2012</w:t>
      </w:r>
      <w:r w:rsidR="008F4BBD">
        <w:rPr>
          <w:rFonts w:asciiTheme="majorHAnsi" w:hAnsiTheme="majorHAnsi" w:cs="Arial"/>
          <w:szCs w:val="26"/>
        </w:rPr>
        <w:t>, p.72-85)</w:t>
      </w:r>
      <w:r w:rsidR="00C65BC9" w:rsidRPr="009578E0">
        <w:rPr>
          <w:rFonts w:asciiTheme="majorHAnsi" w:hAnsiTheme="majorHAnsi" w:cs="Arial"/>
          <w:szCs w:val="26"/>
        </w:rPr>
        <w:t xml:space="preserve"> is that of winner-takes-all where monopolies are established and total exclusion is achieved. </w:t>
      </w:r>
      <w:r>
        <w:rPr>
          <w:rFonts w:asciiTheme="majorHAnsi" w:hAnsiTheme="majorHAnsi" w:cs="Arial"/>
          <w:szCs w:val="26"/>
        </w:rPr>
        <w:t>In an education market where access is imperative for social and eco</w:t>
      </w:r>
      <w:r w:rsidR="008F4BBD">
        <w:rPr>
          <w:rFonts w:asciiTheme="majorHAnsi" w:hAnsiTheme="majorHAnsi" w:cs="Arial"/>
          <w:szCs w:val="26"/>
        </w:rPr>
        <w:t>nomic participation the extreme</w:t>
      </w:r>
      <w:r>
        <w:rPr>
          <w:rFonts w:asciiTheme="majorHAnsi" w:hAnsiTheme="majorHAnsi" w:cs="Arial"/>
          <w:szCs w:val="26"/>
        </w:rPr>
        <w:t xml:space="preserve"> winner-take-all exchanges would inhibit an efficient or effective training market. </w:t>
      </w:r>
      <w:r w:rsidR="008F4BBD">
        <w:rPr>
          <w:rFonts w:asciiTheme="majorHAnsi" w:hAnsiTheme="majorHAnsi" w:cs="Arial"/>
          <w:szCs w:val="26"/>
        </w:rPr>
        <w:t xml:space="preserve">While altruism may be a real and personable motivation in some aspects of education </w:t>
      </w:r>
      <w:r w:rsidR="00FB69B7">
        <w:rPr>
          <w:rFonts w:asciiTheme="majorHAnsi" w:hAnsiTheme="majorHAnsi" w:cs="Arial"/>
          <w:szCs w:val="26"/>
        </w:rPr>
        <w:t xml:space="preserve">markets </w:t>
      </w:r>
      <w:r w:rsidR="008F4BBD">
        <w:rPr>
          <w:rFonts w:asciiTheme="majorHAnsi" w:hAnsiTheme="majorHAnsi" w:cs="Arial"/>
          <w:szCs w:val="26"/>
        </w:rPr>
        <w:t xml:space="preserve">the social and economic necessities are never far away from such simplistic virtuous positions. </w:t>
      </w:r>
    </w:p>
    <w:p w14:paraId="1B57D62F" w14:textId="77777777" w:rsidR="008F4BBD" w:rsidRDefault="008F4BBD" w:rsidP="00C65BC9">
      <w:pPr>
        <w:jc w:val="both"/>
        <w:rPr>
          <w:rFonts w:asciiTheme="majorHAnsi" w:hAnsiTheme="majorHAnsi" w:cs="Arial"/>
          <w:szCs w:val="26"/>
        </w:rPr>
      </w:pPr>
    </w:p>
    <w:p w14:paraId="13C0864B" w14:textId="77777777" w:rsidR="00FB69B7" w:rsidRDefault="00A526F4" w:rsidP="00C65BC9">
      <w:pPr>
        <w:jc w:val="both"/>
        <w:rPr>
          <w:rFonts w:asciiTheme="majorHAnsi" w:hAnsiTheme="majorHAnsi" w:cs="Arial"/>
          <w:szCs w:val="26"/>
        </w:rPr>
      </w:pPr>
      <w:r>
        <w:rPr>
          <w:rFonts w:asciiTheme="majorHAnsi" w:hAnsiTheme="majorHAnsi" w:cs="Arial"/>
          <w:szCs w:val="26"/>
        </w:rPr>
        <w:t xml:space="preserve">It is the three forms of exchange of win-win, differentiated and zero-sum that </w:t>
      </w:r>
      <w:r w:rsidR="00FB69B7">
        <w:rPr>
          <w:rFonts w:asciiTheme="majorHAnsi" w:hAnsiTheme="majorHAnsi" w:cs="Arial"/>
          <w:szCs w:val="26"/>
        </w:rPr>
        <w:t>underpin and characteris</w:t>
      </w:r>
      <w:r w:rsidR="008F4BBD">
        <w:rPr>
          <w:rFonts w:asciiTheme="majorHAnsi" w:hAnsiTheme="majorHAnsi" w:cs="Arial"/>
          <w:szCs w:val="26"/>
        </w:rPr>
        <w:t xml:space="preserve">e </w:t>
      </w:r>
      <w:r>
        <w:rPr>
          <w:rFonts w:asciiTheme="majorHAnsi" w:hAnsiTheme="majorHAnsi" w:cs="Arial"/>
          <w:szCs w:val="26"/>
        </w:rPr>
        <w:t>contestable market</w:t>
      </w:r>
      <w:r w:rsidR="008F4BBD">
        <w:rPr>
          <w:rFonts w:asciiTheme="majorHAnsi" w:hAnsiTheme="majorHAnsi" w:cs="Arial"/>
          <w:szCs w:val="26"/>
        </w:rPr>
        <w:t>s</w:t>
      </w:r>
      <w:r w:rsidR="00FB69B7">
        <w:rPr>
          <w:rFonts w:asciiTheme="majorHAnsi" w:hAnsiTheme="majorHAnsi" w:cs="Arial"/>
          <w:szCs w:val="26"/>
        </w:rPr>
        <w:t xml:space="preserve"> premised on cooperation</w:t>
      </w:r>
      <w:r>
        <w:rPr>
          <w:rFonts w:asciiTheme="majorHAnsi" w:hAnsiTheme="majorHAnsi" w:cs="Arial"/>
          <w:szCs w:val="26"/>
        </w:rPr>
        <w:t>. I want</w:t>
      </w:r>
      <w:r w:rsidR="00C54AF2">
        <w:rPr>
          <w:rFonts w:asciiTheme="majorHAnsi" w:hAnsiTheme="majorHAnsi" w:cs="Arial"/>
          <w:szCs w:val="26"/>
        </w:rPr>
        <w:t xml:space="preserve"> </w:t>
      </w:r>
      <w:r>
        <w:rPr>
          <w:rFonts w:asciiTheme="majorHAnsi" w:hAnsiTheme="majorHAnsi" w:cs="Arial"/>
          <w:szCs w:val="26"/>
        </w:rPr>
        <w:t xml:space="preserve">to suggest that win-win approaches </w:t>
      </w:r>
      <w:r w:rsidR="00C54AF2">
        <w:rPr>
          <w:rFonts w:asciiTheme="majorHAnsi" w:hAnsiTheme="majorHAnsi" w:cs="Arial"/>
          <w:szCs w:val="26"/>
        </w:rPr>
        <w:t xml:space="preserve">while important to cooperation are premised upon a uniform </w:t>
      </w:r>
      <w:r w:rsidR="00570190">
        <w:rPr>
          <w:rFonts w:asciiTheme="majorHAnsi" w:hAnsiTheme="majorHAnsi" w:cs="Arial"/>
          <w:szCs w:val="26"/>
        </w:rPr>
        <w:t xml:space="preserve">and </w:t>
      </w:r>
      <w:r w:rsidR="008F4BBD">
        <w:rPr>
          <w:rFonts w:asciiTheme="majorHAnsi" w:hAnsiTheme="majorHAnsi" w:cs="Arial"/>
          <w:szCs w:val="26"/>
        </w:rPr>
        <w:t xml:space="preserve">fixed </w:t>
      </w:r>
      <w:r w:rsidR="00A571B7">
        <w:rPr>
          <w:rFonts w:asciiTheme="majorHAnsi" w:hAnsiTheme="majorHAnsi" w:cs="Arial"/>
          <w:szCs w:val="26"/>
        </w:rPr>
        <w:t xml:space="preserve">notion of </w:t>
      </w:r>
      <w:r w:rsidR="00C54AF2">
        <w:rPr>
          <w:rFonts w:asciiTheme="majorHAnsi" w:hAnsiTheme="majorHAnsi" w:cs="Arial"/>
          <w:szCs w:val="26"/>
        </w:rPr>
        <w:t xml:space="preserve">market </w:t>
      </w:r>
      <w:r w:rsidR="00A571B7">
        <w:rPr>
          <w:rFonts w:asciiTheme="majorHAnsi" w:hAnsiTheme="majorHAnsi" w:cs="Arial"/>
          <w:szCs w:val="26"/>
        </w:rPr>
        <w:t xml:space="preserve">exchanges </w:t>
      </w:r>
      <w:r w:rsidR="00C54AF2">
        <w:rPr>
          <w:rFonts w:asciiTheme="majorHAnsi" w:hAnsiTheme="majorHAnsi" w:cs="Arial"/>
          <w:szCs w:val="26"/>
        </w:rPr>
        <w:t xml:space="preserve">while zero-sum exchanges </w:t>
      </w:r>
      <w:r w:rsidR="008F4BBD">
        <w:rPr>
          <w:rFonts w:asciiTheme="majorHAnsi" w:hAnsiTheme="majorHAnsi" w:cs="Arial"/>
          <w:szCs w:val="26"/>
        </w:rPr>
        <w:t xml:space="preserve">on the </w:t>
      </w:r>
      <w:r w:rsidR="008F4BBD">
        <w:rPr>
          <w:rFonts w:asciiTheme="majorHAnsi" w:hAnsiTheme="majorHAnsi" w:cs="Arial"/>
          <w:szCs w:val="26"/>
        </w:rPr>
        <w:lastRenderedPageBreak/>
        <w:t xml:space="preserve">other hand would </w:t>
      </w:r>
      <w:r w:rsidR="00C54AF2">
        <w:rPr>
          <w:rFonts w:asciiTheme="majorHAnsi" w:hAnsiTheme="majorHAnsi" w:cs="Arial"/>
          <w:szCs w:val="26"/>
        </w:rPr>
        <w:t xml:space="preserve">inhibit </w:t>
      </w:r>
      <w:r w:rsidR="008F4BBD">
        <w:rPr>
          <w:rFonts w:asciiTheme="majorHAnsi" w:hAnsiTheme="majorHAnsi" w:cs="Arial"/>
          <w:szCs w:val="26"/>
        </w:rPr>
        <w:t xml:space="preserve">the </w:t>
      </w:r>
      <w:r w:rsidR="00C54AF2">
        <w:rPr>
          <w:rFonts w:asciiTheme="majorHAnsi" w:hAnsiTheme="majorHAnsi" w:cs="Arial"/>
          <w:szCs w:val="26"/>
        </w:rPr>
        <w:t xml:space="preserve">adaptability </w:t>
      </w:r>
      <w:r w:rsidR="00A571B7">
        <w:rPr>
          <w:rFonts w:asciiTheme="majorHAnsi" w:hAnsiTheme="majorHAnsi" w:cs="Arial"/>
          <w:szCs w:val="26"/>
        </w:rPr>
        <w:t xml:space="preserve">and dynamism </w:t>
      </w:r>
      <w:r w:rsidR="008F4BBD">
        <w:rPr>
          <w:rFonts w:asciiTheme="majorHAnsi" w:hAnsiTheme="majorHAnsi" w:cs="Arial"/>
          <w:szCs w:val="26"/>
        </w:rPr>
        <w:t>of a</w:t>
      </w:r>
      <w:r w:rsidR="00C54AF2">
        <w:rPr>
          <w:rFonts w:asciiTheme="majorHAnsi" w:hAnsiTheme="majorHAnsi" w:cs="Arial"/>
          <w:szCs w:val="26"/>
        </w:rPr>
        <w:t xml:space="preserve"> contestable market. A contestable market that protects consumers </w:t>
      </w:r>
      <w:r w:rsidR="00FB69B7">
        <w:rPr>
          <w:rFonts w:asciiTheme="majorHAnsi" w:hAnsiTheme="majorHAnsi" w:cs="Arial"/>
          <w:szCs w:val="26"/>
        </w:rPr>
        <w:t xml:space="preserve">through cooperation, </w:t>
      </w:r>
      <w:r w:rsidR="00C54AF2">
        <w:rPr>
          <w:rFonts w:asciiTheme="majorHAnsi" w:hAnsiTheme="majorHAnsi" w:cs="Arial"/>
          <w:szCs w:val="26"/>
        </w:rPr>
        <w:t xml:space="preserve">lies in a dynamic context </w:t>
      </w:r>
      <w:r w:rsidR="00570190">
        <w:rPr>
          <w:rFonts w:asciiTheme="majorHAnsi" w:hAnsiTheme="majorHAnsi" w:cs="Arial"/>
          <w:szCs w:val="26"/>
        </w:rPr>
        <w:t xml:space="preserve">where there are </w:t>
      </w:r>
      <w:r w:rsidR="00C54AF2">
        <w:rPr>
          <w:rFonts w:asciiTheme="majorHAnsi" w:hAnsiTheme="majorHAnsi" w:cs="Arial"/>
          <w:szCs w:val="26"/>
        </w:rPr>
        <w:t xml:space="preserve">a mix of buyers and sellers. </w:t>
      </w:r>
    </w:p>
    <w:p w14:paraId="5BECAE15" w14:textId="77777777" w:rsidR="00FB69B7" w:rsidRDefault="00FB69B7" w:rsidP="00C65BC9">
      <w:pPr>
        <w:jc w:val="both"/>
        <w:rPr>
          <w:rFonts w:asciiTheme="majorHAnsi" w:hAnsiTheme="majorHAnsi" w:cs="Arial"/>
          <w:szCs w:val="26"/>
        </w:rPr>
      </w:pPr>
    </w:p>
    <w:p w14:paraId="21DF365F" w14:textId="77777777" w:rsidR="00C54AF2" w:rsidRDefault="00C65BC9" w:rsidP="00C65BC9">
      <w:pPr>
        <w:jc w:val="both"/>
        <w:rPr>
          <w:rFonts w:asciiTheme="majorHAnsi" w:hAnsiTheme="majorHAnsi" w:cs="Arial"/>
          <w:szCs w:val="26"/>
        </w:rPr>
      </w:pPr>
      <w:r w:rsidRPr="009578E0">
        <w:rPr>
          <w:rFonts w:asciiTheme="majorHAnsi" w:hAnsiTheme="majorHAnsi" w:cs="Arial"/>
          <w:szCs w:val="26"/>
        </w:rPr>
        <w:t>In a contestable context where not only competition and choice are promoted, cooperatio</w:t>
      </w:r>
      <w:r w:rsidR="00A571B7">
        <w:rPr>
          <w:rFonts w:asciiTheme="majorHAnsi" w:hAnsiTheme="majorHAnsi" w:cs="Arial"/>
          <w:szCs w:val="26"/>
        </w:rPr>
        <w:t>n premised upon differentiated-</w:t>
      </w:r>
      <w:r w:rsidRPr="009578E0">
        <w:rPr>
          <w:rFonts w:asciiTheme="majorHAnsi" w:hAnsiTheme="majorHAnsi" w:cs="Arial"/>
          <w:szCs w:val="26"/>
        </w:rPr>
        <w:t xml:space="preserve">exchanges enables the appreciation of difference whilst affirming the distinctive value and worth of each party, interest group or organisation. </w:t>
      </w:r>
      <w:r w:rsidR="00C54AF2" w:rsidRPr="009578E0">
        <w:rPr>
          <w:rFonts w:asciiTheme="majorHAnsi" w:hAnsiTheme="majorHAnsi" w:cs="Arial"/>
          <w:szCs w:val="26"/>
        </w:rPr>
        <w:t xml:space="preserve">Differentiating exchanges that characterise cooperation is where </w:t>
      </w:r>
      <w:r w:rsidR="00FB69B7">
        <w:rPr>
          <w:rFonts w:asciiTheme="majorHAnsi" w:hAnsiTheme="majorHAnsi" w:cs="Arial"/>
          <w:szCs w:val="26"/>
        </w:rPr>
        <w:t xml:space="preserve">differences </w:t>
      </w:r>
      <w:r w:rsidR="00C54AF2" w:rsidRPr="009578E0">
        <w:rPr>
          <w:rFonts w:asciiTheme="majorHAnsi" w:hAnsiTheme="majorHAnsi" w:cs="Arial"/>
          <w:szCs w:val="26"/>
        </w:rPr>
        <w:t xml:space="preserve">are </w:t>
      </w:r>
      <w:r w:rsidR="00FB69B7">
        <w:rPr>
          <w:rFonts w:asciiTheme="majorHAnsi" w:hAnsiTheme="majorHAnsi" w:cs="Arial"/>
          <w:szCs w:val="26"/>
        </w:rPr>
        <w:t>known a</w:t>
      </w:r>
      <w:r w:rsidR="00C54AF2" w:rsidRPr="009578E0">
        <w:rPr>
          <w:rFonts w:asciiTheme="majorHAnsi" w:hAnsiTheme="majorHAnsi" w:cs="Arial"/>
          <w:szCs w:val="26"/>
        </w:rPr>
        <w:t xml:space="preserve">nd mediated through negotiation and dialogue. </w:t>
      </w:r>
      <w:r w:rsidRPr="009578E0">
        <w:rPr>
          <w:rFonts w:asciiTheme="majorHAnsi" w:hAnsiTheme="majorHAnsi" w:cs="Arial"/>
          <w:szCs w:val="26"/>
        </w:rPr>
        <w:t>Such affirmation</w:t>
      </w:r>
      <w:r w:rsidR="00C54AF2">
        <w:rPr>
          <w:rFonts w:asciiTheme="majorHAnsi" w:hAnsiTheme="majorHAnsi" w:cs="Arial"/>
          <w:szCs w:val="26"/>
        </w:rPr>
        <w:t xml:space="preserve">s </w:t>
      </w:r>
      <w:r w:rsidR="00A571B7">
        <w:rPr>
          <w:rFonts w:asciiTheme="majorHAnsi" w:hAnsiTheme="majorHAnsi" w:cs="Arial"/>
          <w:szCs w:val="26"/>
        </w:rPr>
        <w:t xml:space="preserve">enable the staking </w:t>
      </w:r>
      <w:r w:rsidR="00570190">
        <w:rPr>
          <w:rFonts w:asciiTheme="majorHAnsi" w:hAnsiTheme="majorHAnsi" w:cs="Arial"/>
          <w:szCs w:val="26"/>
        </w:rPr>
        <w:t xml:space="preserve">out </w:t>
      </w:r>
      <w:r w:rsidR="00A571B7">
        <w:rPr>
          <w:rFonts w:asciiTheme="majorHAnsi" w:hAnsiTheme="majorHAnsi" w:cs="Arial"/>
          <w:szCs w:val="26"/>
        </w:rPr>
        <w:t>of spaces and</w:t>
      </w:r>
      <w:r w:rsidR="00570190">
        <w:rPr>
          <w:rFonts w:asciiTheme="majorHAnsi" w:hAnsiTheme="majorHAnsi" w:cs="Arial"/>
          <w:szCs w:val="26"/>
        </w:rPr>
        <w:t xml:space="preserve"> </w:t>
      </w:r>
      <w:r w:rsidR="00CF3B65">
        <w:rPr>
          <w:rFonts w:asciiTheme="majorHAnsi" w:hAnsiTheme="majorHAnsi" w:cs="Arial"/>
          <w:szCs w:val="26"/>
        </w:rPr>
        <w:t>a clear</w:t>
      </w:r>
      <w:r w:rsidR="00A571B7">
        <w:rPr>
          <w:rFonts w:asciiTheme="majorHAnsi" w:hAnsiTheme="majorHAnsi" w:cs="Arial"/>
          <w:szCs w:val="26"/>
        </w:rPr>
        <w:t xml:space="preserve"> articulations of missions and purposes that</w:t>
      </w:r>
      <w:r w:rsidR="00570190">
        <w:rPr>
          <w:rFonts w:asciiTheme="majorHAnsi" w:hAnsiTheme="majorHAnsi" w:cs="Arial"/>
          <w:szCs w:val="26"/>
        </w:rPr>
        <w:t xml:space="preserve"> </w:t>
      </w:r>
      <w:r w:rsidR="00A571B7">
        <w:rPr>
          <w:rFonts w:asciiTheme="majorHAnsi" w:hAnsiTheme="majorHAnsi" w:cs="Arial"/>
          <w:szCs w:val="26"/>
        </w:rPr>
        <w:t>would result</w:t>
      </w:r>
      <w:r w:rsidR="00CF3B65">
        <w:rPr>
          <w:rFonts w:asciiTheme="majorHAnsi" w:hAnsiTheme="majorHAnsi" w:cs="Arial"/>
          <w:szCs w:val="26"/>
        </w:rPr>
        <w:t>ing i</w:t>
      </w:r>
      <w:r w:rsidR="00A571B7">
        <w:rPr>
          <w:rFonts w:asciiTheme="majorHAnsi" w:hAnsiTheme="majorHAnsi" w:cs="Arial"/>
          <w:szCs w:val="26"/>
        </w:rPr>
        <w:t xml:space="preserve">n </w:t>
      </w:r>
      <w:r w:rsidR="00CF3B65">
        <w:rPr>
          <w:rFonts w:asciiTheme="majorHAnsi" w:hAnsiTheme="majorHAnsi" w:cs="Arial"/>
          <w:szCs w:val="26"/>
        </w:rPr>
        <w:t xml:space="preserve">more </w:t>
      </w:r>
      <w:r w:rsidR="00A571B7">
        <w:rPr>
          <w:rFonts w:asciiTheme="majorHAnsi" w:hAnsiTheme="majorHAnsi" w:cs="Arial"/>
          <w:szCs w:val="26"/>
        </w:rPr>
        <w:t>certainties</w:t>
      </w:r>
      <w:r w:rsidR="00CF3B65">
        <w:rPr>
          <w:rFonts w:asciiTheme="majorHAnsi" w:hAnsiTheme="majorHAnsi" w:cs="Arial"/>
          <w:szCs w:val="26"/>
        </w:rPr>
        <w:t xml:space="preserve"> in </w:t>
      </w:r>
      <w:r w:rsidR="00C54AF2">
        <w:rPr>
          <w:rFonts w:asciiTheme="majorHAnsi" w:hAnsiTheme="majorHAnsi" w:cs="Arial"/>
          <w:szCs w:val="26"/>
        </w:rPr>
        <w:t>a contestable market</w:t>
      </w:r>
      <w:r w:rsidR="00CF3B65">
        <w:rPr>
          <w:rFonts w:asciiTheme="majorHAnsi" w:hAnsiTheme="majorHAnsi" w:cs="Arial"/>
          <w:szCs w:val="26"/>
        </w:rPr>
        <w:t xml:space="preserve"> operating through a principle of cooperation</w:t>
      </w:r>
      <w:r w:rsidR="00C54AF2">
        <w:rPr>
          <w:rFonts w:asciiTheme="majorHAnsi" w:hAnsiTheme="majorHAnsi" w:cs="Arial"/>
          <w:szCs w:val="26"/>
        </w:rPr>
        <w:t>. T</w:t>
      </w:r>
      <w:r w:rsidRPr="009578E0">
        <w:rPr>
          <w:rFonts w:asciiTheme="majorHAnsi" w:hAnsiTheme="majorHAnsi" w:cs="Arial"/>
          <w:szCs w:val="26"/>
        </w:rPr>
        <w:t xml:space="preserve">he consequence of </w:t>
      </w:r>
      <w:r w:rsidR="00C54AF2">
        <w:rPr>
          <w:rFonts w:asciiTheme="majorHAnsi" w:hAnsiTheme="majorHAnsi" w:cs="Arial"/>
          <w:szCs w:val="26"/>
        </w:rPr>
        <w:t>which is to diminish</w:t>
      </w:r>
      <w:r w:rsidRPr="009578E0">
        <w:rPr>
          <w:rFonts w:asciiTheme="majorHAnsi" w:hAnsiTheme="majorHAnsi" w:cs="Arial"/>
          <w:szCs w:val="26"/>
        </w:rPr>
        <w:t xml:space="preserve"> the destructive affect of invidious comparison riven by anger and aggression those two undertows of competition (Sennett, 2012). </w:t>
      </w:r>
      <w:r w:rsidR="00C54AF2">
        <w:rPr>
          <w:rFonts w:asciiTheme="majorHAnsi" w:hAnsiTheme="majorHAnsi" w:cs="Arial"/>
          <w:szCs w:val="26"/>
        </w:rPr>
        <w:t xml:space="preserve">What </w:t>
      </w:r>
      <w:r w:rsidR="00FD4068">
        <w:rPr>
          <w:rFonts w:asciiTheme="majorHAnsi" w:hAnsiTheme="majorHAnsi" w:cs="Arial"/>
          <w:szCs w:val="26"/>
        </w:rPr>
        <w:t xml:space="preserve">could be </w:t>
      </w:r>
      <w:r w:rsidR="00C54AF2">
        <w:rPr>
          <w:rFonts w:asciiTheme="majorHAnsi" w:hAnsiTheme="majorHAnsi" w:cs="Arial"/>
          <w:szCs w:val="26"/>
        </w:rPr>
        <w:t>achiev</w:t>
      </w:r>
      <w:r w:rsidR="003B2267">
        <w:rPr>
          <w:rFonts w:asciiTheme="majorHAnsi" w:hAnsiTheme="majorHAnsi" w:cs="Arial"/>
          <w:szCs w:val="26"/>
        </w:rPr>
        <w:t>e</w:t>
      </w:r>
      <w:r w:rsidR="00C54AF2">
        <w:rPr>
          <w:rFonts w:asciiTheme="majorHAnsi" w:hAnsiTheme="majorHAnsi" w:cs="Arial"/>
          <w:szCs w:val="26"/>
        </w:rPr>
        <w:t>d is competition with reason</w:t>
      </w:r>
      <w:r w:rsidR="008F4BBD">
        <w:rPr>
          <w:rFonts w:asciiTheme="majorHAnsi" w:hAnsiTheme="majorHAnsi" w:cs="Arial"/>
          <w:szCs w:val="26"/>
        </w:rPr>
        <w:t>, logic and purpose</w:t>
      </w:r>
      <w:r w:rsidR="00C54AF2">
        <w:rPr>
          <w:rFonts w:asciiTheme="majorHAnsi" w:hAnsiTheme="majorHAnsi" w:cs="Arial"/>
          <w:szCs w:val="26"/>
        </w:rPr>
        <w:t xml:space="preserve">. </w:t>
      </w:r>
      <w:r w:rsidR="008F4BBD">
        <w:rPr>
          <w:rFonts w:asciiTheme="majorHAnsi" w:hAnsiTheme="majorHAnsi" w:cs="Arial"/>
          <w:szCs w:val="26"/>
        </w:rPr>
        <w:t xml:space="preserve">If the </w:t>
      </w:r>
      <w:r w:rsidR="00570190">
        <w:rPr>
          <w:rFonts w:asciiTheme="majorHAnsi" w:hAnsiTheme="majorHAnsi" w:cs="Arial"/>
          <w:szCs w:val="26"/>
        </w:rPr>
        <w:t>main evaluative tool in a consumer context</w:t>
      </w:r>
      <w:r w:rsidR="008F4BBD">
        <w:rPr>
          <w:rFonts w:asciiTheme="majorHAnsi" w:hAnsiTheme="majorHAnsi" w:cs="Arial"/>
          <w:szCs w:val="26"/>
        </w:rPr>
        <w:t xml:space="preserve">s is comparison (Bauman, </w:t>
      </w:r>
      <w:r w:rsidR="00D71A82">
        <w:rPr>
          <w:rFonts w:asciiTheme="majorHAnsi" w:hAnsiTheme="majorHAnsi" w:cs="Arial"/>
          <w:szCs w:val="26"/>
        </w:rPr>
        <w:t>200</w:t>
      </w:r>
      <w:r w:rsidR="00570190">
        <w:rPr>
          <w:rFonts w:asciiTheme="majorHAnsi" w:hAnsiTheme="majorHAnsi" w:cs="Arial"/>
          <w:szCs w:val="26"/>
        </w:rPr>
        <w:t>0)</w:t>
      </w:r>
      <w:r w:rsidR="008F4BBD">
        <w:rPr>
          <w:rFonts w:asciiTheme="majorHAnsi" w:hAnsiTheme="majorHAnsi" w:cs="Arial"/>
          <w:szCs w:val="26"/>
        </w:rPr>
        <w:t xml:space="preserve"> comparisons of like with like is necessitated</w:t>
      </w:r>
      <w:r w:rsidR="00570190">
        <w:rPr>
          <w:rFonts w:asciiTheme="majorHAnsi" w:hAnsiTheme="majorHAnsi" w:cs="Arial"/>
          <w:szCs w:val="26"/>
        </w:rPr>
        <w:t xml:space="preserve">. Yet in the context of the VET market/system in Victoria ACE </w:t>
      </w:r>
      <w:r w:rsidR="00FD4068">
        <w:rPr>
          <w:rFonts w:asciiTheme="majorHAnsi" w:hAnsiTheme="majorHAnsi" w:cs="Arial"/>
          <w:szCs w:val="26"/>
        </w:rPr>
        <w:t>providers’</w:t>
      </w:r>
      <w:r w:rsidR="00570190">
        <w:rPr>
          <w:rFonts w:asciiTheme="majorHAnsi" w:hAnsiTheme="majorHAnsi" w:cs="Arial"/>
          <w:szCs w:val="26"/>
        </w:rPr>
        <w:t>, TAFE providers</w:t>
      </w:r>
      <w:r w:rsidR="00FD4068">
        <w:rPr>
          <w:rFonts w:asciiTheme="majorHAnsi" w:hAnsiTheme="majorHAnsi" w:cs="Arial"/>
          <w:szCs w:val="26"/>
        </w:rPr>
        <w:t>’</w:t>
      </w:r>
      <w:r w:rsidR="00570190">
        <w:rPr>
          <w:rFonts w:asciiTheme="majorHAnsi" w:hAnsiTheme="majorHAnsi" w:cs="Arial"/>
          <w:szCs w:val="26"/>
        </w:rPr>
        <w:t xml:space="preserve">, Private providers and the students who ‘buy’ education from these different suppliers cannot entirely compare their </w:t>
      </w:r>
      <w:r w:rsidR="00FD4068">
        <w:rPr>
          <w:rFonts w:asciiTheme="majorHAnsi" w:hAnsiTheme="majorHAnsi" w:cs="Arial"/>
          <w:szCs w:val="26"/>
        </w:rPr>
        <w:t>products, experiences</w:t>
      </w:r>
      <w:r w:rsidR="00570190">
        <w:rPr>
          <w:rFonts w:asciiTheme="majorHAnsi" w:hAnsiTheme="majorHAnsi" w:cs="Arial"/>
          <w:szCs w:val="26"/>
        </w:rPr>
        <w:t xml:space="preserve"> </w:t>
      </w:r>
      <w:r w:rsidR="00FD4068">
        <w:rPr>
          <w:rFonts w:asciiTheme="majorHAnsi" w:hAnsiTheme="majorHAnsi" w:cs="Arial"/>
          <w:szCs w:val="26"/>
        </w:rPr>
        <w:t xml:space="preserve">or promises’ </w:t>
      </w:r>
      <w:r w:rsidR="00570190">
        <w:rPr>
          <w:rFonts w:asciiTheme="majorHAnsi" w:hAnsiTheme="majorHAnsi" w:cs="Arial"/>
          <w:szCs w:val="26"/>
        </w:rPr>
        <w:t xml:space="preserve">because they are different and distinct. Yet students can, do and will express </w:t>
      </w:r>
      <w:r w:rsidR="00FD4068">
        <w:rPr>
          <w:rFonts w:asciiTheme="majorHAnsi" w:hAnsiTheme="majorHAnsi" w:cs="Arial"/>
          <w:szCs w:val="26"/>
        </w:rPr>
        <w:t>their satisfaction</w:t>
      </w:r>
      <w:r w:rsidR="00B04AAF">
        <w:rPr>
          <w:rFonts w:asciiTheme="majorHAnsi" w:hAnsiTheme="majorHAnsi" w:cs="Arial"/>
          <w:szCs w:val="26"/>
        </w:rPr>
        <w:t xml:space="preserve"> or lack thereof about their experience and the quality of education encountered in these different contexts. </w:t>
      </w:r>
      <w:r w:rsidR="00FD4068">
        <w:rPr>
          <w:rFonts w:asciiTheme="majorHAnsi" w:hAnsiTheme="majorHAnsi" w:cs="Arial"/>
          <w:szCs w:val="26"/>
        </w:rPr>
        <w:t xml:space="preserve">Differentiated-exchanges have long </w:t>
      </w:r>
      <w:r w:rsidR="00446384">
        <w:rPr>
          <w:rFonts w:asciiTheme="majorHAnsi" w:hAnsiTheme="majorHAnsi" w:cs="Arial"/>
          <w:szCs w:val="26"/>
        </w:rPr>
        <w:t>characterised</w:t>
      </w:r>
      <w:r w:rsidR="00FD4068">
        <w:rPr>
          <w:rFonts w:asciiTheme="majorHAnsi" w:hAnsiTheme="majorHAnsi" w:cs="Arial"/>
          <w:szCs w:val="26"/>
        </w:rPr>
        <w:t xml:space="preserve"> the VET market/system in Victoria, Australia and internationally. </w:t>
      </w:r>
      <w:r w:rsidR="008F4BBD">
        <w:rPr>
          <w:rFonts w:asciiTheme="majorHAnsi" w:hAnsiTheme="majorHAnsi" w:cs="Arial"/>
          <w:szCs w:val="26"/>
        </w:rPr>
        <w:t xml:space="preserve">VET in schools, VET in the workplace, VET in ACE and through TAFE and private providers are comparable only to a point. </w:t>
      </w:r>
    </w:p>
    <w:p w14:paraId="0B358CB8" w14:textId="77777777" w:rsidR="00C54AF2" w:rsidRDefault="00C54AF2" w:rsidP="00C65BC9">
      <w:pPr>
        <w:jc w:val="both"/>
        <w:rPr>
          <w:rFonts w:asciiTheme="majorHAnsi" w:hAnsiTheme="majorHAnsi" w:cs="Arial"/>
          <w:szCs w:val="26"/>
        </w:rPr>
      </w:pPr>
    </w:p>
    <w:p w14:paraId="206416C8" w14:textId="77777777" w:rsidR="00446384" w:rsidRDefault="00C54AF2" w:rsidP="00C54AF2">
      <w:pPr>
        <w:jc w:val="both"/>
        <w:rPr>
          <w:rFonts w:asciiTheme="majorHAnsi" w:hAnsiTheme="majorHAnsi" w:cs="Arial"/>
          <w:szCs w:val="26"/>
        </w:rPr>
      </w:pPr>
      <w:r w:rsidRPr="009578E0">
        <w:rPr>
          <w:rFonts w:asciiTheme="majorHAnsi" w:hAnsiTheme="majorHAnsi" w:cs="Arial"/>
          <w:szCs w:val="26"/>
        </w:rPr>
        <w:t xml:space="preserve">In 2010 the Australian government amended </w:t>
      </w:r>
      <w:r w:rsidR="00446384">
        <w:rPr>
          <w:rFonts w:asciiTheme="majorHAnsi" w:hAnsiTheme="majorHAnsi" w:cs="Arial"/>
          <w:szCs w:val="26"/>
        </w:rPr>
        <w:t xml:space="preserve">the </w:t>
      </w:r>
      <w:r w:rsidRPr="009578E0">
        <w:rPr>
          <w:rFonts w:asciiTheme="majorHAnsi" w:hAnsiTheme="majorHAnsi" w:cs="Arial"/>
          <w:szCs w:val="26"/>
        </w:rPr>
        <w:t>Trades Practices law to more effectively enshrine consumer protections in</w:t>
      </w:r>
      <w:r>
        <w:rPr>
          <w:rFonts w:asciiTheme="majorHAnsi" w:hAnsiTheme="majorHAnsi" w:cs="Arial"/>
          <w:szCs w:val="26"/>
        </w:rPr>
        <w:t xml:space="preserve">to </w:t>
      </w:r>
      <w:r w:rsidRPr="009578E0">
        <w:rPr>
          <w:rFonts w:asciiTheme="majorHAnsi" w:hAnsiTheme="majorHAnsi" w:cs="Arial"/>
          <w:szCs w:val="26"/>
        </w:rPr>
        <w:t>Australian</w:t>
      </w:r>
      <w:r>
        <w:rPr>
          <w:rFonts w:asciiTheme="majorHAnsi" w:hAnsiTheme="majorHAnsi" w:cs="Arial"/>
          <w:szCs w:val="26"/>
        </w:rPr>
        <w:t xml:space="preserve"> markets and its </w:t>
      </w:r>
      <w:r w:rsidRPr="009578E0">
        <w:rPr>
          <w:rFonts w:asciiTheme="majorHAnsi" w:hAnsiTheme="majorHAnsi" w:cs="Arial"/>
          <w:szCs w:val="26"/>
        </w:rPr>
        <w:t>economy. T</w:t>
      </w:r>
      <w:r w:rsidR="003A2D22">
        <w:rPr>
          <w:rFonts w:asciiTheme="majorHAnsi" w:hAnsiTheme="majorHAnsi" w:cs="Arial"/>
          <w:szCs w:val="26"/>
        </w:rPr>
        <w:t>he Competition and consumer Act</w:t>
      </w:r>
      <w:r>
        <w:rPr>
          <w:rFonts w:asciiTheme="majorHAnsi" w:hAnsiTheme="majorHAnsi" w:cs="Arial"/>
          <w:szCs w:val="26"/>
        </w:rPr>
        <w:t xml:space="preserve"> (</w:t>
      </w:r>
      <w:r w:rsidRPr="009578E0">
        <w:rPr>
          <w:rFonts w:asciiTheme="majorHAnsi" w:hAnsiTheme="majorHAnsi" w:cs="Arial"/>
          <w:szCs w:val="26"/>
        </w:rPr>
        <w:t>2010</w:t>
      </w:r>
      <w:r w:rsidR="003B2267">
        <w:rPr>
          <w:rFonts w:asciiTheme="majorHAnsi" w:hAnsiTheme="majorHAnsi" w:cs="Arial"/>
          <w:szCs w:val="26"/>
        </w:rPr>
        <w:t xml:space="preserve">) </w:t>
      </w:r>
      <w:r w:rsidR="00446384">
        <w:rPr>
          <w:rFonts w:asciiTheme="majorHAnsi" w:hAnsiTheme="majorHAnsi" w:cs="Arial"/>
          <w:szCs w:val="26"/>
        </w:rPr>
        <w:t xml:space="preserve">and </w:t>
      </w:r>
      <w:r w:rsidR="003B2267">
        <w:rPr>
          <w:rFonts w:asciiTheme="majorHAnsi" w:hAnsiTheme="majorHAnsi" w:cs="Arial"/>
          <w:szCs w:val="26"/>
        </w:rPr>
        <w:t>i</w:t>
      </w:r>
      <w:r w:rsidRPr="009578E0">
        <w:rPr>
          <w:rFonts w:asciiTheme="majorHAnsi" w:hAnsiTheme="majorHAnsi" w:cs="Arial"/>
          <w:szCs w:val="26"/>
        </w:rPr>
        <w:t>n particular sectio</w:t>
      </w:r>
      <w:r w:rsidR="00446384">
        <w:rPr>
          <w:rFonts w:asciiTheme="majorHAnsi" w:hAnsiTheme="majorHAnsi" w:cs="Arial"/>
          <w:szCs w:val="26"/>
        </w:rPr>
        <w:t>ns 60 and 61 of the act outline</w:t>
      </w:r>
      <w:r w:rsidR="003A2D22">
        <w:rPr>
          <w:rFonts w:asciiTheme="majorHAnsi" w:hAnsiTheme="majorHAnsi" w:cs="Arial"/>
          <w:szCs w:val="26"/>
        </w:rPr>
        <w:t xml:space="preserve"> the requirements of suppliers </w:t>
      </w:r>
      <w:r w:rsidRPr="009578E0">
        <w:rPr>
          <w:rFonts w:asciiTheme="majorHAnsi" w:hAnsiTheme="majorHAnsi" w:cs="Arial"/>
          <w:szCs w:val="26"/>
        </w:rPr>
        <w:t>that “the services will be rendered with due care and skill”. The Act requires that suppliers (providers) supply services to a consumer on the basis</w:t>
      </w:r>
      <w:r w:rsidR="003B2267">
        <w:rPr>
          <w:rFonts w:asciiTheme="majorHAnsi" w:hAnsiTheme="majorHAnsi" w:cs="Arial"/>
          <w:szCs w:val="26"/>
        </w:rPr>
        <w:t xml:space="preserve"> of </w:t>
      </w:r>
      <w:r w:rsidRPr="009578E0">
        <w:rPr>
          <w:rFonts w:asciiTheme="majorHAnsi" w:hAnsiTheme="majorHAnsi" w:cs="Arial"/>
          <w:szCs w:val="26"/>
        </w:rPr>
        <w:t xml:space="preserve">being ‘fit for purpose’.  </w:t>
      </w:r>
      <w:r w:rsidR="00270CA5">
        <w:rPr>
          <w:rFonts w:asciiTheme="majorHAnsi" w:hAnsiTheme="majorHAnsi" w:cs="Arial"/>
          <w:szCs w:val="26"/>
        </w:rPr>
        <w:t>R</w:t>
      </w:r>
      <w:r w:rsidRPr="009578E0">
        <w:rPr>
          <w:rFonts w:asciiTheme="majorHAnsi" w:hAnsiTheme="majorHAnsi" w:cs="Arial"/>
          <w:szCs w:val="26"/>
        </w:rPr>
        <w:t>esearchers (Bessant, 2004, Kamvounias, 1999, 2005, 2006) have outlined the variable success of students challenging universities and tertiary organisation</w:t>
      </w:r>
      <w:r w:rsidR="003B2267">
        <w:rPr>
          <w:rFonts w:asciiTheme="majorHAnsi" w:hAnsiTheme="majorHAnsi" w:cs="Arial"/>
          <w:szCs w:val="26"/>
        </w:rPr>
        <w:t>s</w:t>
      </w:r>
      <w:r w:rsidRPr="009578E0">
        <w:rPr>
          <w:rFonts w:asciiTheme="majorHAnsi" w:hAnsiTheme="majorHAnsi" w:cs="Arial"/>
          <w:szCs w:val="26"/>
        </w:rPr>
        <w:t xml:space="preserve"> using consumer protection legislation. What the research does</w:t>
      </w:r>
      <w:r w:rsidR="003B2267">
        <w:rPr>
          <w:rFonts w:asciiTheme="majorHAnsi" w:hAnsiTheme="majorHAnsi" w:cs="Arial"/>
          <w:szCs w:val="26"/>
        </w:rPr>
        <w:t xml:space="preserve"> indicate is that </w:t>
      </w:r>
      <w:r w:rsidRPr="009578E0">
        <w:rPr>
          <w:rFonts w:asciiTheme="majorHAnsi" w:hAnsiTheme="majorHAnsi" w:cs="Arial"/>
          <w:szCs w:val="26"/>
        </w:rPr>
        <w:t>there is indeed c</w:t>
      </w:r>
      <w:r w:rsidR="003B2267">
        <w:rPr>
          <w:rFonts w:asciiTheme="majorHAnsi" w:hAnsiTheme="majorHAnsi" w:cs="Arial"/>
          <w:szCs w:val="26"/>
        </w:rPr>
        <w:t xml:space="preserve">lear juridical acceptance that </w:t>
      </w:r>
      <w:r w:rsidRPr="009578E0">
        <w:rPr>
          <w:rFonts w:asciiTheme="majorHAnsi" w:hAnsiTheme="majorHAnsi" w:cs="Arial"/>
          <w:szCs w:val="26"/>
        </w:rPr>
        <w:t>consumer law does apply to contemporary education contexts</w:t>
      </w:r>
      <w:r w:rsidR="00E506BB">
        <w:rPr>
          <w:rFonts w:asciiTheme="majorHAnsi" w:hAnsiTheme="majorHAnsi" w:cs="Arial"/>
          <w:szCs w:val="26"/>
        </w:rPr>
        <w:t>. Y</w:t>
      </w:r>
      <w:r w:rsidRPr="009578E0">
        <w:rPr>
          <w:rFonts w:asciiTheme="majorHAnsi" w:hAnsiTheme="majorHAnsi" w:cs="Arial"/>
          <w:szCs w:val="26"/>
        </w:rPr>
        <w:t>et the</w:t>
      </w:r>
      <w:r w:rsidR="00E506BB">
        <w:rPr>
          <w:rFonts w:asciiTheme="majorHAnsi" w:hAnsiTheme="majorHAnsi" w:cs="Arial"/>
          <w:szCs w:val="26"/>
        </w:rPr>
        <w:t xml:space="preserve"> research </w:t>
      </w:r>
      <w:r w:rsidR="00E506BB" w:rsidRPr="009578E0">
        <w:rPr>
          <w:rFonts w:asciiTheme="majorHAnsi" w:hAnsiTheme="majorHAnsi" w:cs="Arial"/>
          <w:szCs w:val="26"/>
        </w:rPr>
        <w:t>varies</w:t>
      </w:r>
      <w:r w:rsidRPr="009578E0">
        <w:rPr>
          <w:rFonts w:asciiTheme="majorHAnsi" w:hAnsiTheme="majorHAnsi" w:cs="Arial"/>
          <w:szCs w:val="26"/>
        </w:rPr>
        <w:t xml:space="preserve"> in views about whether co</w:t>
      </w:r>
      <w:r w:rsidR="003A2D22">
        <w:rPr>
          <w:rFonts w:asciiTheme="majorHAnsi" w:hAnsiTheme="majorHAnsi" w:cs="Arial"/>
          <w:szCs w:val="26"/>
        </w:rPr>
        <w:t xml:space="preserve">urts are the appropriate place </w:t>
      </w:r>
      <w:r w:rsidRPr="009578E0">
        <w:rPr>
          <w:rFonts w:asciiTheme="majorHAnsi" w:hAnsiTheme="majorHAnsi" w:cs="Arial"/>
          <w:szCs w:val="26"/>
        </w:rPr>
        <w:t>to resolve disputes between students,</w:t>
      </w:r>
      <w:r w:rsidR="00B04AAF">
        <w:rPr>
          <w:rFonts w:asciiTheme="majorHAnsi" w:hAnsiTheme="majorHAnsi" w:cs="Arial"/>
          <w:szCs w:val="26"/>
        </w:rPr>
        <w:t xml:space="preserve"> education stakeholders and </w:t>
      </w:r>
      <w:r w:rsidRPr="009578E0">
        <w:rPr>
          <w:rFonts w:asciiTheme="majorHAnsi" w:hAnsiTheme="majorHAnsi" w:cs="Arial"/>
          <w:szCs w:val="26"/>
        </w:rPr>
        <w:t xml:space="preserve">tertiary organisations. </w:t>
      </w:r>
      <w:r w:rsidR="00270CA5">
        <w:rPr>
          <w:rFonts w:asciiTheme="majorHAnsi" w:hAnsiTheme="majorHAnsi" w:cs="Arial"/>
          <w:szCs w:val="26"/>
        </w:rPr>
        <w:t xml:space="preserve">Whether a contestable market approach </w:t>
      </w:r>
      <w:r w:rsidR="00CF3B65">
        <w:rPr>
          <w:rFonts w:asciiTheme="majorHAnsi" w:hAnsiTheme="majorHAnsi" w:cs="Arial"/>
          <w:szCs w:val="26"/>
        </w:rPr>
        <w:t xml:space="preserve">free of the principal of cooperation </w:t>
      </w:r>
      <w:r w:rsidR="00270CA5">
        <w:rPr>
          <w:rFonts w:asciiTheme="majorHAnsi" w:hAnsiTheme="majorHAnsi" w:cs="Arial"/>
          <w:szCs w:val="26"/>
        </w:rPr>
        <w:t xml:space="preserve">exacerbates or can offer ways to better arrange a ‘fit for purpose’ skills development remains questionable. </w:t>
      </w:r>
    </w:p>
    <w:p w14:paraId="3ACAC961" w14:textId="77777777" w:rsidR="003B2267" w:rsidRDefault="003B2267" w:rsidP="00C54AF2">
      <w:pPr>
        <w:jc w:val="both"/>
        <w:rPr>
          <w:rFonts w:asciiTheme="majorHAnsi" w:hAnsiTheme="majorHAnsi" w:cs="Arial"/>
          <w:szCs w:val="26"/>
        </w:rPr>
      </w:pPr>
    </w:p>
    <w:p w14:paraId="109C5619" w14:textId="77777777" w:rsidR="004F40D4" w:rsidRPr="004F40D4" w:rsidRDefault="004F40D4" w:rsidP="00446384">
      <w:pPr>
        <w:jc w:val="both"/>
        <w:rPr>
          <w:rFonts w:asciiTheme="majorHAnsi" w:hAnsiTheme="majorHAnsi" w:cs="Arial"/>
          <w:sz w:val="28"/>
          <w:szCs w:val="26"/>
        </w:rPr>
      </w:pPr>
      <w:r w:rsidRPr="004F40D4">
        <w:rPr>
          <w:rFonts w:asciiTheme="majorHAnsi" w:hAnsiTheme="majorHAnsi" w:cs="Arial"/>
          <w:sz w:val="28"/>
          <w:szCs w:val="26"/>
        </w:rPr>
        <w:t xml:space="preserve">Market </w:t>
      </w:r>
      <w:r>
        <w:rPr>
          <w:rFonts w:asciiTheme="majorHAnsi" w:hAnsiTheme="majorHAnsi" w:cs="Arial"/>
          <w:sz w:val="28"/>
          <w:szCs w:val="26"/>
        </w:rPr>
        <w:t xml:space="preserve">design and the VTG </w:t>
      </w:r>
    </w:p>
    <w:p w14:paraId="589FB7F9" w14:textId="77777777" w:rsidR="00C54AF2" w:rsidRPr="009578E0" w:rsidRDefault="00C54AF2" w:rsidP="00C54AF2">
      <w:pPr>
        <w:jc w:val="both"/>
        <w:rPr>
          <w:rFonts w:asciiTheme="majorHAnsi" w:hAnsiTheme="majorHAnsi" w:cs="Arial"/>
          <w:szCs w:val="26"/>
        </w:rPr>
      </w:pPr>
      <w:r>
        <w:rPr>
          <w:rFonts w:asciiTheme="majorHAnsi" w:hAnsiTheme="majorHAnsi" w:cs="Arial"/>
          <w:szCs w:val="26"/>
        </w:rPr>
        <w:t>A</w:t>
      </w:r>
      <w:r w:rsidRPr="009578E0">
        <w:rPr>
          <w:rFonts w:asciiTheme="majorHAnsi" w:hAnsiTheme="majorHAnsi" w:cs="Arial"/>
          <w:szCs w:val="26"/>
        </w:rPr>
        <w:t xml:space="preserve">chieving a fair, just and high quality VET </w:t>
      </w:r>
      <w:r w:rsidR="003B2267">
        <w:rPr>
          <w:rFonts w:asciiTheme="majorHAnsi" w:hAnsiTheme="majorHAnsi" w:cs="Arial"/>
          <w:szCs w:val="26"/>
        </w:rPr>
        <w:t xml:space="preserve">depends upon cooperative, </w:t>
      </w:r>
      <w:r w:rsidRPr="009578E0">
        <w:rPr>
          <w:rFonts w:asciiTheme="majorHAnsi" w:hAnsiTheme="majorHAnsi" w:cs="Arial"/>
          <w:szCs w:val="26"/>
        </w:rPr>
        <w:t>thoughtful and dexterous policy and system</w:t>
      </w:r>
      <w:r w:rsidR="00E506BB">
        <w:rPr>
          <w:rFonts w:asciiTheme="majorHAnsi" w:hAnsiTheme="majorHAnsi" w:cs="Arial"/>
          <w:szCs w:val="26"/>
        </w:rPr>
        <w:t>s</w:t>
      </w:r>
      <w:r w:rsidRPr="009578E0">
        <w:rPr>
          <w:rFonts w:asciiTheme="majorHAnsi" w:hAnsiTheme="majorHAnsi" w:cs="Arial"/>
          <w:szCs w:val="26"/>
        </w:rPr>
        <w:t xml:space="preserve"> or as others refer to it ‘market design’ (Cooney, 2008). Victoria in introducing the V</w:t>
      </w:r>
      <w:r>
        <w:rPr>
          <w:rFonts w:asciiTheme="majorHAnsi" w:hAnsiTheme="majorHAnsi" w:cs="Arial"/>
          <w:szCs w:val="26"/>
        </w:rPr>
        <w:t>TG</w:t>
      </w:r>
      <w:r w:rsidRPr="009578E0">
        <w:rPr>
          <w:rFonts w:asciiTheme="majorHAnsi" w:hAnsiTheme="majorHAnsi" w:cs="Arial"/>
          <w:szCs w:val="26"/>
        </w:rPr>
        <w:t xml:space="preserve"> has embarked on </w:t>
      </w:r>
      <w:r w:rsidR="00CF3B65">
        <w:rPr>
          <w:rFonts w:asciiTheme="majorHAnsi" w:hAnsiTheme="majorHAnsi" w:cs="Arial"/>
          <w:szCs w:val="26"/>
        </w:rPr>
        <w:t xml:space="preserve">a </w:t>
      </w:r>
      <w:r w:rsidRPr="009578E0">
        <w:rPr>
          <w:rFonts w:asciiTheme="majorHAnsi" w:hAnsiTheme="majorHAnsi" w:cs="Arial"/>
          <w:szCs w:val="26"/>
        </w:rPr>
        <w:t xml:space="preserve">path of ‘market design’. The market for Victoria is being constructed iteratively and incrementally because there </w:t>
      </w:r>
      <w:r w:rsidRPr="009578E0">
        <w:rPr>
          <w:rFonts w:asciiTheme="majorHAnsi" w:hAnsiTheme="majorHAnsi" w:cs="Arial"/>
          <w:szCs w:val="26"/>
        </w:rPr>
        <w:lastRenderedPageBreak/>
        <w:t xml:space="preserve">is no recipe, formula or format by which an education </w:t>
      </w:r>
      <w:r w:rsidR="00FD4068">
        <w:rPr>
          <w:rFonts w:asciiTheme="majorHAnsi" w:hAnsiTheme="majorHAnsi" w:cs="Arial"/>
          <w:szCs w:val="26"/>
        </w:rPr>
        <w:t>market can be made</w:t>
      </w:r>
      <w:r w:rsidRPr="009578E0">
        <w:rPr>
          <w:rFonts w:asciiTheme="majorHAnsi" w:hAnsiTheme="majorHAnsi" w:cs="Arial"/>
          <w:szCs w:val="26"/>
        </w:rPr>
        <w:t>. In the first four years of the VTG</w:t>
      </w:r>
      <w:r w:rsidR="00D71A82">
        <w:rPr>
          <w:rFonts w:asciiTheme="majorHAnsi" w:hAnsiTheme="majorHAnsi" w:cs="Arial"/>
          <w:szCs w:val="26"/>
        </w:rPr>
        <w:t>,</w:t>
      </w:r>
      <w:r w:rsidRPr="009578E0">
        <w:rPr>
          <w:rFonts w:asciiTheme="majorHAnsi" w:hAnsiTheme="majorHAnsi" w:cs="Arial"/>
          <w:szCs w:val="26"/>
        </w:rPr>
        <w:t xml:space="preserve"> fee cha</w:t>
      </w:r>
      <w:r w:rsidR="00D71A82">
        <w:rPr>
          <w:rFonts w:asciiTheme="majorHAnsi" w:hAnsiTheme="majorHAnsi" w:cs="Arial"/>
          <w:szCs w:val="26"/>
        </w:rPr>
        <w:t>rges</w:t>
      </w:r>
      <w:r w:rsidRPr="009578E0">
        <w:rPr>
          <w:rFonts w:asciiTheme="majorHAnsi" w:hAnsiTheme="majorHAnsi" w:cs="Arial"/>
          <w:szCs w:val="26"/>
        </w:rPr>
        <w:t xml:space="preserve">, eligibility </w:t>
      </w:r>
      <w:r w:rsidR="00D71A82">
        <w:rPr>
          <w:rFonts w:asciiTheme="majorHAnsi" w:hAnsiTheme="majorHAnsi" w:cs="Arial"/>
          <w:szCs w:val="26"/>
        </w:rPr>
        <w:t xml:space="preserve">criteria, concession arrangements </w:t>
      </w:r>
      <w:r w:rsidRPr="009578E0">
        <w:rPr>
          <w:rFonts w:asciiTheme="majorHAnsi" w:hAnsiTheme="majorHAnsi" w:cs="Arial"/>
          <w:szCs w:val="26"/>
        </w:rPr>
        <w:t xml:space="preserve">and funding mechanism have been adjusted, fixed and refixed, causing </w:t>
      </w:r>
      <w:r w:rsidR="00E506BB">
        <w:rPr>
          <w:rFonts w:asciiTheme="majorHAnsi" w:hAnsiTheme="majorHAnsi" w:cs="Arial"/>
          <w:szCs w:val="26"/>
        </w:rPr>
        <w:t xml:space="preserve">inefficiencies due to </w:t>
      </w:r>
      <w:r w:rsidRPr="009578E0">
        <w:rPr>
          <w:rFonts w:asciiTheme="majorHAnsi" w:hAnsiTheme="majorHAnsi" w:cs="Arial"/>
          <w:szCs w:val="26"/>
        </w:rPr>
        <w:t>uncertainty</w:t>
      </w:r>
      <w:r w:rsidR="00E506BB">
        <w:rPr>
          <w:rFonts w:asciiTheme="majorHAnsi" w:hAnsiTheme="majorHAnsi" w:cs="Arial"/>
          <w:szCs w:val="26"/>
        </w:rPr>
        <w:t xml:space="preserve"> </w:t>
      </w:r>
      <w:r w:rsidRPr="009578E0">
        <w:rPr>
          <w:rFonts w:asciiTheme="majorHAnsi" w:hAnsiTheme="majorHAnsi" w:cs="Arial"/>
          <w:szCs w:val="26"/>
        </w:rPr>
        <w:t xml:space="preserve">and instability. The ESC </w:t>
      </w:r>
      <w:r w:rsidR="00CF3B65">
        <w:rPr>
          <w:rFonts w:asciiTheme="majorHAnsi" w:hAnsiTheme="majorHAnsi" w:cs="Arial"/>
          <w:szCs w:val="26"/>
        </w:rPr>
        <w:t xml:space="preserve">inquiry into VET </w:t>
      </w:r>
      <w:r w:rsidRPr="009578E0">
        <w:rPr>
          <w:rFonts w:asciiTheme="majorHAnsi" w:hAnsiTheme="majorHAnsi" w:cs="Arial"/>
          <w:szCs w:val="26"/>
        </w:rPr>
        <w:t xml:space="preserve">fees and funding </w:t>
      </w:r>
      <w:r w:rsidR="00FD4068">
        <w:rPr>
          <w:rFonts w:asciiTheme="majorHAnsi" w:hAnsiTheme="majorHAnsi" w:cs="Arial"/>
          <w:szCs w:val="26"/>
        </w:rPr>
        <w:t xml:space="preserve">represents an important policy </w:t>
      </w:r>
      <w:r w:rsidRPr="009578E0">
        <w:rPr>
          <w:rFonts w:asciiTheme="majorHAnsi" w:hAnsiTheme="majorHAnsi" w:cs="Arial"/>
          <w:szCs w:val="26"/>
        </w:rPr>
        <w:t xml:space="preserve">episode in this path to an open and contestable VET market. While the notion of a ‘free market’ is as old as Adam Smith what a free </w:t>
      </w:r>
      <w:r w:rsidR="00FD4068">
        <w:rPr>
          <w:rFonts w:asciiTheme="majorHAnsi" w:hAnsiTheme="majorHAnsi" w:cs="Arial"/>
          <w:szCs w:val="26"/>
        </w:rPr>
        <w:t xml:space="preserve">and open </w:t>
      </w:r>
      <w:r w:rsidRPr="009578E0">
        <w:rPr>
          <w:rFonts w:asciiTheme="majorHAnsi" w:hAnsiTheme="majorHAnsi" w:cs="Arial"/>
          <w:szCs w:val="26"/>
        </w:rPr>
        <w:t xml:space="preserve">market means for </w:t>
      </w:r>
      <w:r w:rsidR="00D71A82">
        <w:rPr>
          <w:rFonts w:asciiTheme="majorHAnsi" w:hAnsiTheme="majorHAnsi" w:cs="Arial"/>
          <w:szCs w:val="26"/>
        </w:rPr>
        <w:t xml:space="preserve">vocational </w:t>
      </w:r>
      <w:r w:rsidRPr="009578E0">
        <w:rPr>
          <w:rFonts w:asciiTheme="majorHAnsi" w:hAnsiTheme="majorHAnsi" w:cs="Arial"/>
          <w:szCs w:val="26"/>
        </w:rPr>
        <w:t xml:space="preserve">education is still being made as the market </w:t>
      </w:r>
      <w:r>
        <w:rPr>
          <w:rFonts w:asciiTheme="majorHAnsi" w:hAnsiTheme="majorHAnsi" w:cs="Arial"/>
          <w:szCs w:val="26"/>
        </w:rPr>
        <w:t xml:space="preserve">principles </w:t>
      </w:r>
      <w:r w:rsidR="003B2267">
        <w:rPr>
          <w:rFonts w:asciiTheme="majorHAnsi" w:hAnsiTheme="majorHAnsi" w:cs="Arial"/>
          <w:szCs w:val="26"/>
        </w:rPr>
        <w:t>evolve</w:t>
      </w:r>
      <w:r w:rsidRPr="009578E0">
        <w:rPr>
          <w:rFonts w:asciiTheme="majorHAnsi" w:hAnsiTheme="majorHAnsi" w:cs="Arial"/>
          <w:szCs w:val="26"/>
        </w:rPr>
        <w:t xml:space="preserve"> through desig</w:t>
      </w:r>
      <w:r w:rsidR="003B2267">
        <w:rPr>
          <w:rFonts w:asciiTheme="majorHAnsi" w:hAnsiTheme="majorHAnsi" w:cs="Arial"/>
          <w:szCs w:val="26"/>
        </w:rPr>
        <w:t xml:space="preserve">n and policy levers. </w:t>
      </w:r>
      <w:r w:rsidR="00446384">
        <w:rPr>
          <w:rFonts w:asciiTheme="majorHAnsi" w:hAnsiTheme="majorHAnsi" w:cs="Arial"/>
          <w:szCs w:val="26"/>
        </w:rPr>
        <w:t xml:space="preserve">As it presently stands the fees and funding of VET in Victoria is not occurring through the ‘invisible hand’ of the market but is being engineered through government policy that </w:t>
      </w:r>
      <w:r w:rsidR="00E506BB">
        <w:rPr>
          <w:rFonts w:asciiTheme="majorHAnsi" w:hAnsiTheme="majorHAnsi" w:cs="Arial"/>
          <w:szCs w:val="26"/>
        </w:rPr>
        <w:t>has not fully taken account o</w:t>
      </w:r>
      <w:r w:rsidR="00446384">
        <w:rPr>
          <w:rFonts w:asciiTheme="majorHAnsi" w:hAnsiTheme="majorHAnsi" w:cs="Arial"/>
          <w:szCs w:val="26"/>
        </w:rPr>
        <w:t xml:space="preserve">f </w:t>
      </w:r>
      <w:r w:rsidR="00E506BB">
        <w:rPr>
          <w:rFonts w:asciiTheme="majorHAnsi" w:hAnsiTheme="majorHAnsi" w:cs="Arial"/>
          <w:szCs w:val="26"/>
        </w:rPr>
        <w:t xml:space="preserve">the </w:t>
      </w:r>
      <w:r w:rsidR="00446384">
        <w:rPr>
          <w:rFonts w:asciiTheme="majorHAnsi" w:hAnsiTheme="majorHAnsi" w:cs="Arial"/>
          <w:szCs w:val="26"/>
        </w:rPr>
        <w:t xml:space="preserve">differentiated supply capacities of providers and </w:t>
      </w:r>
      <w:r w:rsidR="00E506BB">
        <w:rPr>
          <w:rFonts w:asciiTheme="majorHAnsi" w:hAnsiTheme="majorHAnsi" w:cs="Arial"/>
          <w:szCs w:val="26"/>
        </w:rPr>
        <w:t xml:space="preserve">diversity of the </w:t>
      </w:r>
      <w:r w:rsidR="00446384">
        <w:rPr>
          <w:rFonts w:asciiTheme="majorHAnsi" w:hAnsiTheme="majorHAnsi" w:cs="Arial"/>
          <w:szCs w:val="26"/>
        </w:rPr>
        <w:t xml:space="preserve">demand focused </w:t>
      </w:r>
      <w:r w:rsidR="00E506BB">
        <w:rPr>
          <w:rFonts w:asciiTheme="majorHAnsi" w:hAnsiTheme="majorHAnsi" w:cs="Arial"/>
          <w:szCs w:val="26"/>
        </w:rPr>
        <w:t xml:space="preserve">motivations </w:t>
      </w:r>
      <w:r w:rsidR="00446384">
        <w:rPr>
          <w:rFonts w:asciiTheme="majorHAnsi" w:hAnsiTheme="majorHAnsi" w:cs="Arial"/>
          <w:szCs w:val="26"/>
        </w:rPr>
        <w:t xml:space="preserve">of a widening pool of students as consumers. </w:t>
      </w:r>
    </w:p>
    <w:p w14:paraId="0261C2D2" w14:textId="77777777" w:rsidR="00D577E1" w:rsidRDefault="00D577E1" w:rsidP="00D577E1">
      <w:pPr>
        <w:jc w:val="both"/>
        <w:rPr>
          <w:rFonts w:asciiTheme="majorHAnsi" w:hAnsiTheme="majorHAnsi" w:cs="Arial"/>
          <w:szCs w:val="26"/>
        </w:rPr>
      </w:pPr>
    </w:p>
    <w:p w14:paraId="7B7BB353" w14:textId="77777777" w:rsidR="00B04AAF" w:rsidRDefault="00AD4D09" w:rsidP="003B2267">
      <w:pPr>
        <w:jc w:val="both"/>
        <w:rPr>
          <w:rFonts w:asciiTheme="majorHAnsi" w:hAnsiTheme="majorHAnsi" w:cs="Arial"/>
          <w:szCs w:val="26"/>
        </w:rPr>
      </w:pPr>
      <w:r w:rsidRPr="009578E0">
        <w:rPr>
          <w:rFonts w:asciiTheme="majorHAnsi" w:hAnsiTheme="majorHAnsi" w:cs="Arial"/>
          <w:szCs w:val="26"/>
        </w:rPr>
        <w:t xml:space="preserve">The Victorian Training Guarantee </w:t>
      </w:r>
      <w:r w:rsidR="00E506BB" w:rsidRPr="009578E0">
        <w:rPr>
          <w:rFonts w:asciiTheme="majorHAnsi" w:hAnsiTheme="majorHAnsi" w:cs="Arial"/>
          <w:szCs w:val="26"/>
        </w:rPr>
        <w:t>allocat</w:t>
      </w:r>
      <w:r w:rsidR="00CF3B65">
        <w:rPr>
          <w:rFonts w:asciiTheme="majorHAnsi" w:hAnsiTheme="majorHAnsi" w:cs="Arial"/>
          <w:szCs w:val="26"/>
        </w:rPr>
        <w:t xml:space="preserve">ion of </w:t>
      </w:r>
      <w:r w:rsidR="00E506BB" w:rsidRPr="009578E0">
        <w:rPr>
          <w:rFonts w:asciiTheme="majorHAnsi" w:hAnsiTheme="majorHAnsi" w:cs="Arial"/>
          <w:szCs w:val="26"/>
        </w:rPr>
        <w:t>government</w:t>
      </w:r>
      <w:r w:rsidRPr="009578E0">
        <w:rPr>
          <w:rFonts w:asciiTheme="majorHAnsi" w:hAnsiTheme="majorHAnsi" w:cs="Arial"/>
          <w:szCs w:val="26"/>
        </w:rPr>
        <w:t xml:space="preserve">-subsidised tuition to students to undertake </w:t>
      </w:r>
      <w:r w:rsidR="00E506BB">
        <w:rPr>
          <w:rFonts w:asciiTheme="majorHAnsi" w:hAnsiTheme="majorHAnsi" w:cs="Arial"/>
          <w:szCs w:val="26"/>
        </w:rPr>
        <w:t xml:space="preserve">VET </w:t>
      </w:r>
      <w:r w:rsidRPr="009578E0">
        <w:rPr>
          <w:rFonts w:asciiTheme="majorHAnsi" w:hAnsiTheme="majorHAnsi" w:cs="Arial"/>
          <w:szCs w:val="26"/>
        </w:rPr>
        <w:t>qualification</w:t>
      </w:r>
      <w:r w:rsidR="00E506BB">
        <w:rPr>
          <w:rFonts w:asciiTheme="majorHAnsi" w:hAnsiTheme="majorHAnsi" w:cs="Arial"/>
          <w:szCs w:val="26"/>
        </w:rPr>
        <w:t>s</w:t>
      </w:r>
      <w:r w:rsidR="00CF3B65">
        <w:rPr>
          <w:rFonts w:asciiTheme="majorHAnsi" w:hAnsiTheme="majorHAnsi" w:cs="Arial"/>
          <w:szCs w:val="26"/>
        </w:rPr>
        <w:t xml:space="preserve"> is presently occurring through </w:t>
      </w:r>
      <w:r>
        <w:rPr>
          <w:rFonts w:asciiTheme="majorHAnsi" w:hAnsiTheme="majorHAnsi" w:cs="Arial"/>
          <w:szCs w:val="26"/>
        </w:rPr>
        <w:t xml:space="preserve">restrictive </w:t>
      </w:r>
      <w:r w:rsidRPr="009578E0">
        <w:rPr>
          <w:rFonts w:asciiTheme="majorHAnsi" w:hAnsiTheme="majorHAnsi" w:cs="Arial"/>
          <w:szCs w:val="26"/>
        </w:rPr>
        <w:t>eligibility requirements have been put in place.</w:t>
      </w:r>
      <w:r w:rsidR="00E506BB">
        <w:rPr>
          <w:rFonts w:asciiTheme="majorHAnsi" w:hAnsiTheme="majorHAnsi" w:cs="Arial"/>
          <w:szCs w:val="26"/>
        </w:rPr>
        <w:t xml:space="preserve"> Those under 20 years old can access a governm</w:t>
      </w:r>
      <w:r w:rsidR="00EC73D9">
        <w:rPr>
          <w:rFonts w:asciiTheme="majorHAnsi" w:hAnsiTheme="majorHAnsi" w:cs="Arial"/>
          <w:szCs w:val="26"/>
        </w:rPr>
        <w:t xml:space="preserve">ent subisdised place yet those </w:t>
      </w:r>
      <w:r w:rsidR="00E506BB">
        <w:rPr>
          <w:rFonts w:asciiTheme="majorHAnsi" w:hAnsiTheme="majorHAnsi" w:cs="Arial"/>
          <w:szCs w:val="26"/>
        </w:rPr>
        <w:t>over 20</w:t>
      </w:r>
      <w:r w:rsidR="00EC73D9">
        <w:rPr>
          <w:rFonts w:asciiTheme="majorHAnsi" w:hAnsiTheme="majorHAnsi" w:cs="Arial"/>
          <w:szCs w:val="26"/>
        </w:rPr>
        <w:t xml:space="preserve"> y.o.</w:t>
      </w:r>
      <w:r w:rsidR="00E506BB">
        <w:rPr>
          <w:rFonts w:asciiTheme="majorHAnsi" w:hAnsiTheme="majorHAnsi" w:cs="Arial"/>
          <w:szCs w:val="26"/>
        </w:rPr>
        <w:t xml:space="preserve"> who already hold a post-school qualification cannot. </w:t>
      </w:r>
      <w:r w:rsidRPr="009578E0">
        <w:rPr>
          <w:rFonts w:asciiTheme="majorHAnsi" w:hAnsiTheme="majorHAnsi" w:cs="Arial"/>
          <w:szCs w:val="26"/>
        </w:rPr>
        <w:t xml:space="preserve"> The Victorian Training Guarantee segments VET qualifications, courses, and programs through the classifications</w:t>
      </w:r>
      <w:r w:rsidR="00CF3B65">
        <w:rPr>
          <w:rFonts w:asciiTheme="majorHAnsi" w:hAnsiTheme="majorHAnsi" w:cs="Arial"/>
          <w:szCs w:val="26"/>
        </w:rPr>
        <w:t xml:space="preserve"> shown in the following table</w:t>
      </w:r>
      <w:r w:rsidRPr="009578E0">
        <w:rPr>
          <w:rFonts w:asciiTheme="majorHAnsi" w:hAnsiTheme="majorHAnsi" w:cs="Arial"/>
          <w:szCs w:val="26"/>
        </w:rPr>
        <w:t>.</w:t>
      </w:r>
    </w:p>
    <w:p w14:paraId="539B6A78" w14:textId="77777777" w:rsidR="003A2D22" w:rsidRDefault="00AD4D09" w:rsidP="003B2267">
      <w:pPr>
        <w:jc w:val="both"/>
        <w:rPr>
          <w:rFonts w:asciiTheme="majorHAnsi" w:hAnsiTheme="majorHAnsi" w:cs="Arial"/>
          <w:szCs w:val="26"/>
        </w:rPr>
      </w:pPr>
      <w:r w:rsidRPr="009578E0">
        <w:rPr>
          <w:rFonts w:asciiTheme="majorHAnsi" w:hAnsiTheme="majorHAnsi" w:cs="Arial"/>
          <w:szCs w:val="26"/>
        </w:rPr>
        <w:t xml:space="preserve"> </w:t>
      </w:r>
    </w:p>
    <w:p w14:paraId="0C505CFB" w14:textId="77777777" w:rsidR="00CF3B65" w:rsidRPr="00CF3B65" w:rsidRDefault="00CF3B65" w:rsidP="00CF3B65">
      <w:pPr>
        <w:jc w:val="both"/>
        <w:rPr>
          <w:rFonts w:asciiTheme="majorHAnsi" w:hAnsiTheme="majorHAnsi" w:cs="Arial"/>
          <w:b/>
          <w:sz w:val="22"/>
          <w:szCs w:val="22"/>
        </w:rPr>
      </w:pPr>
      <w:r>
        <w:rPr>
          <w:rFonts w:asciiTheme="majorHAnsi" w:hAnsiTheme="majorHAnsi" w:cs="Arial"/>
          <w:b/>
          <w:sz w:val="22"/>
          <w:szCs w:val="22"/>
        </w:rPr>
        <w:t xml:space="preserve">        </w:t>
      </w:r>
      <w:r w:rsidRPr="00CF3B65">
        <w:rPr>
          <w:rFonts w:asciiTheme="majorHAnsi" w:hAnsiTheme="majorHAnsi" w:cs="Arial"/>
          <w:b/>
          <w:sz w:val="22"/>
          <w:szCs w:val="22"/>
        </w:rPr>
        <w:t xml:space="preserve">Table One: Qualifications and skills funding categories. </w:t>
      </w:r>
    </w:p>
    <w:tbl>
      <w:tblPr>
        <w:tblStyle w:val="TableGrid"/>
        <w:tblW w:w="3559" w:type="pct"/>
        <w:tblInd w:w="576" w:type="dxa"/>
        <w:tblLook w:val="00A0" w:firstRow="1" w:lastRow="0" w:firstColumn="1" w:lastColumn="0" w:noHBand="0" w:noVBand="0"/>
      </w:tblPr>
      <w:tblGrid>
        <w:gridCol w:w="6062"/>
      </w:tblGrid>
      <w:tr w:rsidR="003A2D22" w:rsidRPr="009D3F35" w14:paraId="18A1C1F0" w14:textId="77777777">
        <w:tc>
          <w:tcPr>
            <w:tcW w:w="5000" w:type="pct"/>
          </w:tcPr>
          <w:p w14:paraId="020BC56E" w14:textId="77777777" w:rsidR="003A2D22" w:rsidRPr="009D3F35" w:rsidRDefault="003A2D22">
            <w:pPr>
              <w:rPr>
                <w:rFonts w:ascii="Times New Roman" w:hAnsi="Times New Roman" w:cs="Arial"/>
                <w:sz w:val="22"/>
                <w:szCs w:val="26"/>
              </w:rPr>
            </w:pPr>
            <w:r w:rsidRPr="009D3F35">
              <w:rPr>
                <w:rFonts w:ascii="Times New Roman" w:hAnsi="Times New Roman" w:cs="Arial"/>
                <w:sz w:val="22"/>
                <w:szCs w:val="26"/>
              </w:rPr>
              <w:t>Foundation skills</w:t>
            </w:r>
          </w:p>
        </w:tc>
      </w:tr>
      <w:tr w:rsidR="003A2D22" w:rsidRPr="009D3F35" w14:paraId="78F7B1A0" w14:textId="77777777">
        <w:tc>
          <w:tcPr>
            <w:tcW w:w="5000" w:type="pct"/>
          </w:tcPr>
          <w:p w14:paraId="1099D7C7" w14:textId="77777777" w:rsidR="003A2D22" w:rsidRPr="009D3F35" w:rsidRDefault="003A2D22">
            <w:pPr>
              <w:rPr>
                <w:rFonts w:ascii="Times New Roman" w:hAnsi="Times New Roman" w:cs="Arial"/>
                <w:sz w:val="22"/>
                <w:szCs w:val="26"/>
              </w:rPr>
            </w:pPr>
            <w:r w:rsidRPr="009D3F35">
              <w:rPr>
                <w:rFonts w:ascii="Times New Roman" w:hAnsi="Times New Roman" w:cs="Arial"/>
                <w:sz w:val="22"/>
                <w:szCs w:val="26"/>
              </w:rPr>
              <w:t>Skills Creation  (Certificate I and II)</w:t>
            </w:r>
          </w:p>
        </w:tc>
      </w:tr>
      <w:tr w:rsidR="003A2D22" w:rsidRPr="009D3F35" w14:paraId="59D14A06" w14:textId="77777777">
        <w:tc>
          <w:tcPr>
            <w:tcW w:w="5000" w:type="pct"/>
          </w:tcPr>
          <w:p w14:paraId="51663A24" w14:textId="77777777" w:rsidR="003A2D22" w:rsidRPr="009D3F35" w:rsidRDefault="003A2D22">
            <w:pPr>
              <w:rPr>
                <w:rFonts w:ascii="Times New Roman" w:hAnsi="Times New Roman" w:cs="Arial"/>
                <w:sz w:val="22"/>
                <w:szCs w:val="26"/>
              </w:rPr>
            </w:pPr>
            <w:r w:rsidRPr="009D3F35">
              <w:rPr>
                <w:rFonts w:ascii="Times New Roman" w:hAnsi="Times New Roman" w:cs="Arial"/>
                <w:sz w:val="22"/>
                <w:szCs w:val="26"/>
              </w:rPr>
              <w:t xml:space="preserve">Skills Building (Certificate III and IV) </w:t>
            </w:r>
          </w:p>
        </w:tc>
      </w:tr>
      <w:tr w:rsidR="003A2D22" w:rsidRPr="009D3F35" w14:paraId="38F18672" w14:textId="77777777">
        <w:tc>
          <w:tcPr>
            <w:tcW w:w="5000" w:type="pct"/>
          </w:tcPr>
          <w:p w14:paraId="4D11A4F1" w14:textId="77777777" w:rsidR="003A2D22" w:rsidRPr="009D3F35" w:rsidRDefault="003A2D22">
            <w:pPr>
              <w:rPr>
                <w:rFonts w:ascii="Times New Roman" w:hAnsi="Times New Roman" w:cs="Arial"/>
                <w:sz w:val="22"/>
                <w:szCs w:val="26"/>
              </w:rPr>
            </w:pPr>
            <w:r w:rsidRPr="009D3F35">
              <w:rPr>
                <w:rFonts w:ascii="Times New Roman" w:hAnsi="Times New Roman" w:cs="Arial"/>
                <w:sz w:val="22"/>
                <w:szCs w:val="26"/>
              </w:rPr>
              <w:t xml:space="preserve">Skills Deepening (Diploma and Advanced Diploma) </w:t>
            </w:r>
          </w:p>
        </w:tc>
      </w:tr>
      <w:tr w:rsidR="003A2D22" w:rsidRPr="009D3F35" w14:paraId="64D8859B" w14:textId="77777777">
        <w:tc>
          <w:tcPr>
            <w:tcW w:w="5000" w:type="pct"/>
          </w:tcPr>
          <w:p w14:paraId="24BF958A" w14:textId="77777777" w:rsidR="003A2D22" w:rsidRPr="009D3F35" w:rsidRDefault="003A2D22">
            <w:pPr>
              <w:rPr>
                <w:rFonts w:ascii="Times New Roman" w:hAnsi="Times New Roman" w:cs="Arial"/>
                <w:sz w:val="22"/>
                <w:szCs w:val="26"/>
              </w:rPr>
            </w:pPr>
            <w:r w:rsidRPr="009D3F35">
              <w:rPr>
                <w:rFonts w:ascii="Times New Roman" w:hAnsi="Times New Roman" w:cs="Arial"/>
                <w:sz w:val="22"/>
                <w:szCs w:val="26"/>
              </w:rPr>
              <w:t xml:space="preserve">Apprenticeships (Certificate III) </w:t>
            </w:r>
          </w:p>
        </w:tc>
      </w:tr>
      <w:tr w:rsidR="003A2D22" w:rsidRPr="009D3F35" w14:paraId="15A4D0FD" w14:textId="77777777">
        <w:tc>
          <w:tcPr>
            <w:tcW w:w="5000" w:type="pct"/>
          </w:tcPr>
          <w:p w14:paraId="618A672B" w14:textId="77777777" w:rsidR="003A2D22" w:rsidRPr="009D3F35" w:rsidRDefault="003A2D22">
            <w:pPr>
              <w:rPr>
                <w:rFonts w:ascii="Times New Roman" w:hAnsi="Times New Roman" w:cs="Arial"/>
                <w:sz w:val="22"/>
                <w:szCs w:val="26"/>
              </w:rPr>
            </w:pPr>
            <w:r w:rsidRPr="009D3F35">
              <w:rPr>
                <w:rFonts w:ascii="Times New Roman" w:hAnsi="Times New Roman" w:cs="Arial"/>
                <w:sz w:val="22"/>
                <w:szCs w:val="26"/>
              </w:rPr>
              <w:t xml:space="preserve">Traineeeships (Certificate II, III, IV &amp; Diploma) </w:t>
            </w:r>
          </w:p>
        </w:tc>
      </w:tr>
    </w:tbl>
    <w:p w14:paraId="6EF230C1" w14:textId="77777777" w:rsidR="003A2D22" w:rsidRDefault="003A2D22" w:rsidP="003B2267">
      <w:pPr>
        <w:jc w:val="both"/>
        <w:rPr>
          <w:rFonts w:asciiTheme="majorHAnsi" w:hAnsiTheme="majorHAnsi" w:cs="Arial"/>
          <w:szCs w:val="26"/>
        </w:rPr>
      </w:pPr>
    </w:p>
    <w:p w14:paraId="5C455AD1" w14:textId="77777777" w:rsidR="003A2D22" w:rsidRDefault="00CF3B65" w:rsidP="003B2267">
      <w:pPr>
        <w:jc w:val="both"/>
        <w:rPr>
          <w:rFonts w:asciiTheme="majorHAnsi" w:hAnsiTheme="majorHAnsi" w:cs="Arial"/>
          <w:szCs w:val="26"/>
        </w:rPr>
      </w:pPr>
      <w:r>
        <w:rPr>
          <w:rFonts w:asciiTheme="majorHAnsi" w:hAnsiTheme="majorHAnsi" w:cs="Arial"/>
          <w:szCs w:val="26"/>
        </w:rPr>
        <w:t>T</w:t>
      </w:r>
      <w:r w:rsidR="00AD4D09" w:rsidRPr="009578E0">
        <w:rPr>
          <w:rFonts w:asciiTheme="majorHAnsi" w:hAnsiTheme="majorHAnsi" w:cs="Arial"/>
          <w:szCs w:val="26"/>
        </w:rPr>
        <w:t>he providers engaged in the VET provision in Victoria</w:t>
      </w:r>
      <w:r>
        <w:rPr>
          <w:rFonts w:asciiTheme="majorHAnsi" w:hAnsiTheme="majorHAnsi" w:cs="Arial"/>
          <w:szCs w:val="26"/>
        </w:rPr>
        <w:t xml:space="preserve"> include </w:t>
      </w:r>
      <w:r w:rsidR="00446384">
        <w:rPr>
          <w:rFonts w:asciiTheme="majorHAnsi" w:hAnsiTheme="majorHAnsi" w:cs="Arial"/>
          <w:szCs w:val="26"/>
        </w:rPr>
        <w:t>public providers-</w:t>
      </w:r>
      <w:r w:rsidR="00AD4D09" w:rsidRPr="009578E0">
        <w:rPr>
          <w:rFonts w:asciiTheme="majorHAnsi" w:hAnsiTheme="majorHAnsi" w:cs="Arial"/>
          <w:szCs w:val="26"/>
        </w:rPr>
        <w:t xml:space="preserve">TAFE institutions, Private (not for and for profit) providers, </w:t>
      </w:r>
      <w:r w:rsidR="00AD4D09">
        <w:rPr>
          <w:rFonts w:asciiTheme="majorHAnsi" w:hAnsiTheme="majorHAnsi" w:cs="Arial"/>
          <w:szCs w:val="26"/>
        </w:rPr>
        <w:t>A</w:t>
      </w:r>
      <w:r w:rsidR="00AD4D09" w:rsidRPr="009578E0">
        <w:rPr>
          <w:rFonts w:asciiTheme="majorHAnsi" w:hAnsiTheme="majorHAnsi" w:cs="Arial"/>
          <w:szCs w:val="26"/>
        </w:rPr>
        <w:t xml:space="preserve">dult and </w:t>
      </w:r>
      <w:r w:rsidR="00AD4D09">
        <w:rPr>
          <w:rFonts w:asciiTheme="majorHAnsi" w:hAnsiTheme="majorHAnsi" w:cs="Arial"/>
          <w:szCs w:val="26"/>
        </w:rPr>
        <w:t>C</w:t>
      </w:r>
      <w:r w:rsidR="00AD4D09" w:rsidRPr="009578E0">
        <w:rPr>
          <w:rFonts w:asciiTheme="majorHAnsi" w:hAnsiTheme="majorHAnsi" w:cs="Arial"/>
          <w:szCs w:val="26"/>
        </w:rPr>
        <w:t xml:space="preserve">ommunity </w:t>
      </w:r>
      <w:r w:rsidR="00AD4D09">
        <w:rPr>
          <w:rFonts w:asciiTheme="majorHAnsi" w:hAnsiTheme="majorHAnsi" w:cs="Arial"/>
          <w:szCs w:val="26"/>
        </w:rPr>
        <w:t>E</w:t>
      </w:r>
      <w:r w:rsidR="00AD4D09" w:rsidRPr="009578E0">
        <w:rPr>
          <w:rFonts w:asciiTheme="majorHAnsi" w:hAnsiTheme="majorHAnsi" w:cs="Arial"/>
          <w:szCs w:val="26"/>
        </w:rPr>
        <w:t>ducation providers</w:t>
      </w:r>
      <w:r w:rsidR="00AD4D09">
        <w:rPr>
          <w:rFonts w:asciiTheme="majorHAnsi" w:hAnsiTheme="majorHAnsi" w:cs="Arial"/>
          <w:szCs w:val="26"/>
        </w:rPr>
        <w:t xml:space="preserve"> (ACE)</w:t>
      </w:r>
      <w:r w:rsidR="00AD4D09" w:rsidRPr="009578E0">
        <w:rPr>
          <w:rFonts w:asciiTheme="majorHAnsi" w:hAnsiTheme="majorHAnsi" w:cs="Arial"/>
          <w:szCs w:val="26"/>
        </w:rPr>
        <w:t xml:space="preserve">, </w:t>
      </w:r>
      <w:r>
        <w:rPr>
          <w:rFonts w:asciiTheme="majorHAnsi" w:hAnsiTheme="majorHAnsi" w:cs="Arial"/>
          <w:szCs w:val="26"/>
        </w:rPr>
        <w:t xml:space="preserve">the </w:t>
      </w:r>
      <w:r w:rsidR="00AD4D09" w:rsidRPr="009578E0">
        <w:rPr>
          <w:rFonts w:asciiTheme="majorHAnsi" w:hAnsiTheme="majorHAnsi" w:cs="Arial"/>
          <w:szCs w:val="26"/>
        </w:rPr>
        <w:t>Adult Migration Education Services (AMES), secondary schools w</w:t>
      </w:r>
      <w:r>
        <w:rPr>
          <w:rFonts w:asciiTheme="majorHAnsi" w:hAnsiTheme="majorHAnsi" w:cs="Arial"/>
          <w:szCs w:val="26"/>
        </w:rPr>
        <w:t xml:space="preserve">ith </w:t>
      </w:r>
      <w:r w:rsidR="00AD4D09" w:rsidRPr="009578E0">
        <w:rPr>
          <w:rFonts w:asciiTheme="majorHAnsi" w:hAnsiTheme="majorHAnsi" w:cs="Arial"/>
          <w:szCs w:val="26"/>
        </w:rPr>
        <w:t xml:space="preserve">VET in Schools </w:t>
      </w:r>
      <w:r>
        <w:rPr>
          <w:rFonts w:asciiTheme="majorHAnsi" w:hAnsiTheme="majorHAnsi" w:cs="Arial"/>
          <w:szCs w:val="26"/>
        </w:rPr>
        <w:t xml:space="preserve">programs, </w:t>
      </w:r>
      <w:r w:rsidR="00AD4D09" w:rsidRPr="009578E0">
        <w:rPr>
          <w:rFonts w:asciiTheme="majorHAnsi" w:hAnsiTheme="majorHAnsi" w:cs="Arial"/>
          <w:szCs w:val="26"/>
        </w:rPr>
        <w:t>enterprises that are also Registered Training Organisations and in Community welfare and employment agencies that have regist</w:t>
      </w:r>
      <w:r w:rsidR="00AD4D09">
        <w:rPr>
          <w:rFonts w:asciiTheme="majorHAnsi" w:hAnsiTheme="majorHAnsi" w:cs="Arial"/>
          <w:szCs w:val="26"/>
        </w:rPr>
        <w:t xml:space="preserve">ration as training providers. The market design </w:t>
      </w:r>
      <w:r w:rsidR="007217DE">
        <w:rPr>
          <w:rFonts w:asciiTheme="majorHAnsi" w:hAnsiTheme="majorHAnsi" w:cs="Arial"/>
          <w:szCs w:val="26"/>
        </w:rPr>
        <w:t>aspect</w:t>
      </w:r>
      <w:r w:rsidR="003A2D22">
        <w:rPr>
          <w:rFonts w:asciiTheme="majorHAnsi" w:hAnsiTheme="majorHAnsi" w:cs="Arial"/>
          <w:szCs w:val="26"/>
        </w:rPr>
        <w:t xml:space="preserve"> of the VTG rest</w:t>
      </w:r>
      <w:r w:rsidR="00D71A82">
        <w:rPr>
          <w:rFonts w:asciiTheme="majorHAnsi" w:hAnsiTheme="majorHAnsi" w:cs="Arial"/>
          <w:szCs w:val="26"/>
        </w:rPr>
        <w:t xml:space="preserve">s upon </w:t>
      </w:r>
      <w:r w:rsidR="003A2D22">
        <w:rPr>
          <w:rFonts w:asciiTheme="majorHAnsi" w:hAnsiTheme="majorHAnsi" w:cs="Arial"/>
          <w:szCs w:val="26"/>
        </w:rPr>
        <w:t xml:space="preserve">qualification segmentation and </w:t>
      </w:r>
      <w:r>
        <w:rPr>
          <w:rFonts w:asciiTheme="majorHAnsi" w:hAnsiTheme="majorHAnsi" w:cs="Arial"/>
          <w:szCs w:val="26"/>
        </w:rPr>
        <w:t xml:space="preserve">the </w:t>
      </w:r>
      <w:r w:rsidR="003A2D22">
        <w:rPr>
          <w:rFonts w:asciiTheme="majorHAnsi" w:hAnsiTheme="majorHAnsi" w:cs="Arial"/>
          <w:szCs w:val="26"/>
        </w:rPr>
        <w:t xml:space="preserve">competition between providers </w:t>
      </w:r>
      <w:r>
        <w:rPr>
          <w:rFonts w:asciiTheme="majorHAnsi" w:hAnsiTheme="majorHAnsi" w:cs="Arial"/>
          <w:szCs w:val="26"/>
        </w:rPr>
        <w:t xml:space="preserve">for public funding. The </w:t>
      </w:r>
      <w:r w:rsidR="003A2D22">
        <w:rPr>
          <w:rFonts w:asciiTheme="majorHAnsi" w:hAnsiTheme="majorHAnsi" w:cs="Arial"/>
          <w:szCs w:val="26"/>
        </w:rPr>
        <w:t xml:space="preserve">distinctions and differences </w:t>
      </w:r>
      <w:r>
        <w:rPr>
          <w:rFonts w:asciiTheme="majorHAnsi" w:hAnsiTheme="majorHAnsi" w:cs="Arial"/>
          <w:szCs w:val="26"/>
        </w:rPr>
        <w:t xml:space="preserve">between providers/suppliers </w:t>
      </w:r>
      <w:r w:rsidR="003A2D22">
        <w:rPr>
          <w:rFonts w:asciiTheme="majorHAnsi" w:hAnsiTheme="majorHAnsi" w:cs="Arial"/>
          <w:szCs w:val="26"/>
        </w:rPr>
        <w:t>have not been effectively considered to build in efficiencies of scale</w:t>
      </w:r>
      <w:r w:rsidR="00D71A82">
        <w:rPr>
          <w:rFonts w:asciiTheme="majorHAnsi" w:hAnsiTheme="majorHAnsi" w:cs="Arial"/>
          <w:szCs w:val="26"/>
        </w:rPr>
        <w:t xml:space="preserve"> </w:t>
      </w:r>
      <w:r w:rsidR="00E506BB">
        <w:rPr>
          <w:rFonts w:asciiTheme="majorHAnsi" w:hAnsiTheme="majorHAnsi" w:cs="Arial"/>
          <w:szCs w:val="26"/>
        </w:rPr>
        <w:t xml:space="preserve">in </w:t>
      </w:r>
      <w:r w:rsidR="00D71A82">
        <w:rPr>
          <w:rFonts w:asciiTheme="majorHAnsi" w:hAnsiTheme="majorHAnsi" w:cs="Arial"/>
          <w:szCs w:val="26"/>
        </w:rPr>
        <w:t>this contestable market context</w:t>
      </w:r>
      <w:r w:rsidR="003A2D22">
        <w:rPr>
          <w:rFonts w:asciiTheme="majorHAnsi" w:hAnsiTheme="majorHAnsi" w:cs="Arial"/>
          <w:szCs w:val="26"/>
        </w:rPr>
        <w:t xml:space="preserve">.  </w:t>
      </w:r>
      <w:r>
        <w:rPr>
          <w:rFonts w:asciiTheme="majorHAnsi" w:hAnsiTheme="majorHAnsi" w:cs="Arial"/>
          <w:szCs w:val="26"/>
        </w:rPr>
        <w:t xml:space="preserve">Demand by prospective students/ as consumers </w:t>
      </w:r>
      <w:r w:rsidR="007217DE">
        <w:rPr>
          <w:rFonts w:asciiTheme="majorHAnsi" w:hAnsiTheme="majorHAnsi" w:cs="Arial"/>
          <w:szCs w:val="26"/>
        </w:rPr>
        <w:t xml:space="preserve">will receive government subsidized support if eligible attracting different levels of support depending upon the qualification level. </w:t>
      </w:r>
    </w:p>
    <w:p w14:paraId="6BB9E3C2" w14:textId="77777777" w:rsidR="00AD4D09" w:rsidRDefault="00AD4D09" w:rsidP="003B2267">
      <w:pPr>
        <w:jc w:val="both"/>
        <w:rPr>
          <w:rFonts w:asciiTheme="majorHAnsi" w:hAnsiTheme="majorHAnsi" w:cs="Arial"/>
          <w:szCs w:val="26"/>
        </w:rPr>
      </w:pPr>
    </w:p>
    <w:p w14:paraId="55636F87" w14:textId="77777777" w:rsidR="00E506BB" w:rsidRDefault="003B2267" w:rsidP="00B04AAF">
      <w:pPr>
        <w:jc w:val="both"/>
        <w:rPr>
          <w:rFonts w:asciiTheme="majorHAnsi" w:hAnsiTheme="majorHAnsi" w:cs="Arial"/>
          <w:szCs w:val="26"/>
        </w:rPr>
      </w:pPr>
      <w:r>
        <w:rPr>
          <w:rFonts w:asciiTheme="majorHAnsi" w:hAnsiTheme="majorHAnsi" w:cs="Arial"/>
          <w:szCs w:val="26"/>
        </w:rPr>
        <w:t xml:space="preserve">As it </w:t>
      </w:r>
      <w:r w:rsidR="00AD4D09">
        <w:rPr>
          <w:rFonts w:asciiTheme="majorHAnsi" w:hAnsiTheme="majorHAnsi" w:cs="Arial"/>
          <w:szCs w:val="26"/>
        </w:rPr>
        <w:t>now stands</w:t>
      </w:r>
      <w:r>
        <w:rPr>
          <w:rFonts w:asciiTheme="majorHAnsi" w:hAnsiTheme="majorHAnsi" w:cs="Arial"/>
          <w:szCs w:val="26"/>
        </w:rPr>
        <w:t xml:space="preserve"> in Victoria t</w:t>
      </w:r>
      <w:r w:rsidRPr="009578E0">
        <w:rPr>
          <w:rFonts w:asciiTheme="majorHAnsi" w:hAnsiTheme="majorHAnsi" w:cs="Arial"/>
          <w:szCs w:val="26"/>
        </w:rPr>
        <w:t xml:space="preserve">he Minster responsible for Vocational Education and Training approves the classification of courses and each year is charged with fixing the maximum hourly tuition fee. Concessions are available for all courses excepting those at Diploma and </w:t>
      </w:r>
      <w:r w:rsidR="00D71A82">
        <w:rPr>
          <w:rFonts w:asciiTheme="majorHAnsi" w:hAnsiTheme="majorHAnsi" w:cs="Arial"/>
          <w:szCs w:val="26"/>
        </w:rPr>
        <w:t>A</w:t>
      </w:r>
      <w:r w:rsidRPr="009578E0">
        <w:rPr>
          <w:rFonts w:asciiTheme="majorHAnsi" w:hAnsiTheme="majorHAnsi" w:cs="Arial"/>
          <w:szCs w:val="26"/>
        </w:rPr>
        <w:t xml:space="preserve">dvanced </w:t>
      </w:r>
      <w:r w:rsidR="00D71A82">
        <w:rPr>
          <w:rFonts w:asciiTheme="majorHAnsi" w:hAnsiTheme="majorHAnsi" w:cs="Arial"/>
          <w:szCs w:val="26"/>
        </w:rPr>
        <w:t>D</w:t>
      </w:r>
      <w:r w:rsidRPr="009578E0">
        <w:rPr>
          <w:rFonts w:asciiTheme="majorHAnsi" w:hAnsiTheme="majorHAnsi" w:cs="Arial"/>
          <w:szCs w:val="26"/>
        </w:rPr>
        <w:t>ipl</w:t>
      </w:r>
      <w:r w:rsidR="003A2D22">
        <w:rPr>
          <w:rFonts w:asciiTheme="majorHAnsi" w:hAnsiTheme="majorHAnsi" w:cs="Arial"/>
          <w:szCs w:val="26"/>
        </w:rPr>
        <w:t xml:space="preserve">oma levels (Skills deepening). </w:t>
      </w:r>
      <w:r w:rsidRPr="009578E0">
        <w:rPr>
          <w:rFonts w:asciiTheme="majorHAnsi" w:hAnsiTheme="majorHAnsi" w:cs="Arial"/>
          <w:szCs w:val="26"/>
        </w:rPr>
        <w:t xml:space="preserve">At this stage in Victoria’s radical </w:t>
      </w:r>
      <w:r w:rsidR="007217DE">
        <w:rPr>
          <w:rFonts w:asciiTheme="majorHAnsi" w:hAnsiTheme="majorHAnsi" w:cs="Arial"/>
          <w:szCs w:val="26"/>
        </w:rPr>
        <w:t>market experiment</w:t>
      </w:r>
      <w:r w:rsidR="00446384">
        <w:rPr>
          <w:rFonts w:asciiTheme="majorHAnsi" w:hAnsiTheme="majorHAnsi" w:cs="Arial"/>
          <w:szCs w:val="26"/>
        </w:rPr>
        <w:t>,</w:t>
      </w:r>
      <w:r w:rsidRPr="009578E0">
        <w:rPr>
          <w:rFonts w:asciiTheme="majorHAnsi" w:hAnsiTheme="majorHAnsi" w:cs="Arial"/>
          <w:szCs w:val="26"/>
        </w:rPr>
        <w:t xml:space="preserve"> concessions are granted to those in receipt of a commonwealth health care concession card, a pensioner concession card and those with a Veterans Gold card</w:t>
      </w:r>
      <w:r w:rsidR="00446384">
        <w:rPr>
          <w:rFonts w:asciiTheme="majorHAnsi" w:hAnsiTheme="majorHAnsi" w:cs="Arial"/>
          <w:szCs w:val="26"/>
        </w:rPr>
        <w:t xml:space="preserve"> but not at the diploma and advanced diploma levels</w:t>
      </w:r>
      <w:r w:rsidRPr="009578E0">
        <w:rPr>
          <w:rFonts w:asciiTheme="majorHAnsi" w:hAnsiTheme="majorHAnsi" w:cs="Arial"/>
          <w:szCs w:val="26"/>
        </w:rPr>
        <w:t xml:space="preserve">.  The </w:t>
      </w:r>
      <w:r w:rsidRPr="009578E0">
        <w:rPr>
          <w:rFonts w:asciiTheme="majorHAnsi" w:hAnsiTheme="majorHAnsi" w:cs="Arial"/>
          <w:szCs w:val="26"/>
        </w:rPr>
        <w:lastRenderedPageBreak/>
        <w:t>amount of the concession fee varies by course level and is determined by the minister on a</w:t>
      </w:r>
      <w:r w:rsidR="00EC73D9">
        <w:rPr>
          <w:rFonts w:asciiTheme="majorHAnsi" w:hAnsiTheme="majorHAnsi" w:cs="Arial"/>
          <w:szCs w:val="26"/>
        </w:rPr>
        <w:t xml:space="preserve">n annual basis. Concession </w:t>
      </w:r>
      <w:r w:rsidRPr="009578E0">
        <w:rPr>
          <w:rFonts w:asciiTheme="majorHAnsi" w:hAnsiTheme="majorHAnsi" w:cs="Arial"/>
          <w:szCs w:val="26"/>
        </w:rPr>
        <w:t xml:space="preserve">fees </w:t>
      </w:r>
      <w:r w:rsidR="00D71A82">
        <w:rPr>
          <w:rFonts w:asciiTheme="majorHAnsi" w:hAnsiTheme="majorHAnsi" w:cs="Arial"/>
          <w:szCs w:val="26"/>
        </w:rPr>
        <w:t xml:space="preserve">are </w:t>
      </w:r>
      <w:r w:rsidRPr="009578E0">
        <w:rPr>
          <w:rFonts w:asciiTheme="majorHAnsi" w:hAnsiTheme="majorHAnsi" w:cs="Arial"/>
          <w:szCs w:val="26"/>
        </w:rPr>
        <w:t>also made available to prisoners in transition centres or young people on community based orders. Concessions are central to providing access to education to those who experience significant hardship and those whose attachment socially and economi</w:t>
      </w:r>
      <w:r w:rsidR="00E506BB">
        <w:rPr>
          <w:rFonts w:asciiTheme="majorHAnsi" w:hAnsiTheme="majorHAnsi" w:cs="Arial"/>
          <w:szCs w:val="26"/>
        </w:rPr>
        <w:t xml:space="preserve">cally is precariously insecure. </w:t>
      </w:r>
      <w:r w:rsidRPr="009578E0">
        <w:rPr>
          <w:rFonts w:asciiTheme="majorHAnsi" w:hAnsiTheme="majorHAnsi" w:cs="Arial"/>
          <w:szCs w:val="26"/>
        </w:rPr>
        <w:t>This policy trajectory in Victoria is committed to user choice and user pay</w:t>
      </w:r>
      <w:r w:rsidR="00D71A82">
        <w:rPr>
          <w:rFonts w:asciiTheme="majorHAnsi" w:hAnsiTheme="majorHAnsi" w:cs="Arial"/>
          <w:szCs w:val="26"/>
        </w:rPr>
        <w:t>s</w:t>
      </w:r>
      <w:r w:rsidRPr="009578E0">
        <w:rPr>
          <w:rFonts w:asciiTheme="majorHAnsi" w:hAnsiTheme="majorHAnsi" w:cs="Arial"/>
          <w:szCs w:val="26"/>
        </w:rPr>
        <w:t xml:space="preserve"> and </w:t>
      </w:r>
      <w:r w:rsidR="00A44D91">
        <w:rPr>
          <w:rFonts w:asciiTheme="majorHAnsi" w:hAnsiTheme="majorHAnsi" w:cs="Arial"/>
          <w:szCs w:val="26"/>
        </w:rPr>
        <w:t xml:space="preserve">the </w:t>
      </w:r>
      <w:r w:rsidRPr="009578E0">
        <w:rPr>
          <w:rFonts w:asciiTheme="majorHAnsi" w:hAnsiTheme="majorHAnsi" w:cs="Arial"/>
          <w:szCs w:val="26"/>
        </w:rPr>
        <w:t xml:space="preserve">winding back </w:t>
      </w:r>
      <w:r w:rsidR="00A44D91">
        <w:rPr>
          <w:rFonts w:asciiTheme="majorHAnsi" w:hAnsiTheme="majorHAnsi" w:cs="Arial"/>
          <w:szCs w:val="26"/>
        </w:rPr>
        <w:t xml:space="preserve">of </w:t>
      </w:r>
      <w:r w:rsidRPr="009578E0">
        <w:rPr>
          <w:rFonts w:asciiTheme="majorHAnsi" w:hAnsiTheme="majorHAnsi" w:cs="Arial"/>
          <w:szCs w:val="26"/>
        </w:rPr>
        <w:t>the State government commitment</w:t>
      </w:r>
      <w:r w:rsidR="00A44D91">
        <w:rPr>
          <w:rFonts w:asciiTheme="majorHAnsi" w:hAnsiTheme="majorHAnsi" w:cs="Arial"/>
          <w:szCs w:val="26"/>
        </w:rPr>
        <w:t>s</w:t>
      </w:r>
      <w:r w:rsidRPr="009578E0">
        <w:rPr>
          <w:rFonts w:asciiTheme="majorHAnsi" w:hAnsiTheme="majorHAnsi" w:cs="Arial"/>
          <w:szCs w:val="26"/>
        </w:rPr>
        <w:t xml:space="preserve"> to public VET provision.</w:t>
      </w:r>
      <w:r w:rsidR="00AD4D09" w:rsidRPr="009578E0">
        <w:rPr>
          <w:rFonts w:asciiTheme="majorHAnsi" w:hAnsiTheme="majorHAnsi" w:cs="Arial"/>
          <w:szCs w:val="26"/>
        </w:rPr>
        <w:t xml:space="preserve"> </w:t>
      </w:r>
    </w:p>
    <w:p w14:paraId="62BA772A" w14:textId="77777777" w:rsidR="00AD4D09" w:rsidRPr="009578E0" w:rsidRDefault="00AD4D09" w:rsidP="00B04AAF">
      <w:pPr>
        <w:jc w:val="both"/>
        <w:rPr>
          <w:rFonts w:asciiTheme="majorHAnsi" w:hAnsiTheme="majorHAnsi" w:cs="Arial"/>
          <w:szCs w:val="26"/>
        </w:rPr>
      </w:pPr>
    </w:p>
    <w:p w14:paraId="267A8065" w14:textId="77777777" w:rsidR="00AD4D09" w:rsidRPr="00AD4D09" w:rsidRDefault="004F40D4" w:rsidP="00AD4D09">
      <w:pPr>
        <w:rPr>
          <w:rFonts w:asciiTheme="majorHAnsi" w:hAnsiTheme="majorHAnsi" w:cs="Arial"/>
          <w:sz w:val="28"/>
          <w:szCs w:val="26"/>
        </w:rPr>
      </w:pPr>
      <w:r>
        <w:rPr>
          <w:rFonts w:asciiTheme="majorHAnsi" w:hAnsiTheme="majorHAnsi" w:cs="Arial"/>
          <w:sz w:val="28"/>
          <w:szCs w:val="26"/>
        </w:rPr>
        <w:t xml:space="preserve">The review </w:t>
      </w:r>
      <w:r w:rsidR="00270CA5">
        <w:rPr>
          <w:rFonts w:asciiTheme="majorHAnsi" w:hAnsiTheme="majorHAnsi" w:cs="Arial"/>
          <w:sz w:val="28"/>
          <w:szCs w:val="26"/>
        </w:rPr>
        <w:t xml:space="preserve">submissions </w:t>
      </w:r>
      <w:r>
        <w:rPr>
          <w:rFonts w:asciiTheme="majorHAnsi" w:hAnsiTheme="majorHAnsi" w:cs="Arial"/>
          <w:sz w:val="28"/>
          <w:szCs w:val="26"/>
        </w:rPr>
        <w:t>and the key issues</w:t>
      </w:r>
    </w:p>
    <w:p w14:paraId="449C5904" w14:textId="77777777" w:rsidR="002267E5" w:rsidRDefault="00AD4D09" w:rsidP="002267E5">
      <w:pPr>
        <w:jc w:val="both"/>
        <w:rPr>
          <w:rFonts w:asciiTheme="majorHAnsi" w:hAnsiTheme="majorHAnsi" w:cs="Arial"/>
          <w:szCs w:val="26"/>
        </w:rPr>
      </w:pPr>
      <w:r w:rsidRPr="009578E0">
        <w:rPr>
          <w:rFonts w:asciiTheme="majorHAnsi" w:hAnsiTheme="majorHAnsi" w:cs="Arial"/>
          <w:szCs w:val="26"/>
        </w:rPr>
        <w:t xml:space="preserve">Each of the sixty-three submissions to the ESC review of VET fees and funding </w:t>
      </w:r>
      <w:r w:rsidR="00D71A82">
        <w:rPr>
          <w:rFonts w:asciiTheme="majorHAnsi" w:hAnsiTheme="majorHAnsi" w:cs="Arial"/>
          <w:szCs w:val="26"/>
        </w:rPr>
        <w:t xml:space="preserve">contained information about the </w:t>
      </w:r>
      <w:r w:rsidR="00E506BB">
        <w:rPr>
          <w:rFonts w:asciiTheme="majorHAnsi" w:hAnsiTheme="majorHAnsi" w:cs="Arial"/>
          <w:szCs w:val="26"/>
        </w:rPr>
        <w:t xml:space="preserve">impacts of </w:t>
      </w:r>
      <w:r w:rsidRPr="009578E0">
        <w:rPr>
          <w:rFonts w:asciiTheme="majorHAnsi" w:hAnsiTheme="majorHAnsi" w:cs="Arial"/>
          <w:szCs w:val="26"/>
        </w:rPr>
        <w:t>competition a</w:t>
      </w:r>
      <w:r w:rsidR="00D71A82">
        <w:rPr>
          <w:rFonts w:asciiTheme="majorHAnsi" w:hAnsiTheme="majorHAnsi" w:cs="Arial"/>
          <w:szCs w:val="26"/>
        </w:rPr>
        <w:t xml:space="preserve">long with </w:t>
      </w:r>
      <w:r w:rsidR="00E506BB">
        <w:rPr>
          <w:rFonts w:asciiTheme="majorHAnsi" w:hAnsiTheme="majorHAnsi" w:cs="Arial"/>
          <w:szCs w:val="26"/>
        </w:rPr>
        <w:t>concerns</w:t>
      </w:r>
      <w:r>
        <w:rPr>
          <w:rFonts w:asciiTheme="majorHAnsi" w:hAnsiTheme="majorHAnsi" w:cs="Arial"/>
          <w:szCs w:val="26"/>
        </w:rPr>
        <w:t xml:space="preserve"> </w:t>
      </w:r>
      <w:r w:rsidR="00E506BB">
        <w:rPr>
          <w:rFonts w:asciiTheme="majorHAnsi" w:hAnsiTheme="majorHAnsi" w:cs="Arial"/>
          <w:szCs w:val="26"/>
        </w:rPr>
        <w:t xml:space="preserve">emanating from </w:t>
      </w:r>
      <w:r>
        <w:rPr>
          <w:rFonts w:asciiTheme="majorHAnsi" w:hAnsiTheme="majorHAnsi" w:cs="Arial"/>
          <w:szCs w:val="26"/>
        </w:rPr>
        <w:t xml:space="preserve">a lack of </w:t>
      </w:r>
      <w:r w:rsidRPr="009578E0">
        <w:rPr>
          <w:rFonts w:asciiTheme="majorHAnsi" w:hAnsiTheme="majorHAnsi" w:cs="Arial"/>
          <w:szCs w:val="26"/>
        </w:rPr>
        <w:t>cooperation</w:t>
      </w:r>
      <w:r>
        <w:rPr>
          <w:rFonts w:asciiTheme="majorHAnsi" w:hAnsiTheme="majorHAnsi" w:cs="Arial"/>
          <w:szCs w:val="26"/>
        </w:rPr>
        <w:t xml:space="preserve"> in the market</w:t>
      </w:r>
      <w:r w:rsidRPr="009578E0">
        <w:rPr>
          <w:rFonts w:asciiTheme="majorHAnsi" w:hAnsiTheme="majorHAnsi" w:cs="Arial"/>
          <w:szCs w:val="26"/>
        </w:rPr>
        <w:t xml:space="preserve">. </w:t>
      </w:r>
      <w:r w:rsidR="002267E5">
        <w:rPr>
          <w:rFonts w:asciiTheme="majorHAnsi" w:hAnsiTheme="majorHAnsi" w:cs="Arial"/>
          <w:szCs w:val="26"/>
        </w:rPr>
        <w:t>E</w:t>
      </w:r>
      <w:r w:rsidRPr="009578E0">
        <w:rPr>
          <w:rFonts w:asciiTheme="majorHAnsi" w:hAnsiTheme="majorHAnsi" w:cs="Arial"/>
          <w:szCs w:val="26"/>
        </w:rPr>
        <w:t>ach of the submission</w:t>
      </w:r>
      <w:r w:rsidR="00FD4068">
        <w:rPr>
          <w:rFonts w:asciiTheme="majorHAnsi" w:hAnsiTheme="majorHAnsi" w:cs="Arial"/>
          <w:szCs w:val="26"/>
        </w:rPr>
        <w:t xml:space="preserve">s </w:t>
      </w:r>
      <w:r w:rsidR="007217DE">
        <w:rPr>
          <w:rFonts w:asciiTheme="majorHAnsi" w:hAnsiTheme="majorHAnsi" w:cs="Arial"/>
          <w:szCs w:val="26"/>
        </w:rPr>
        <w:t xml:space="preserve">outlined </w:t>
      </w:r>
      <w:r w:rsidR="00A44D91">
        <w:rPr>
          <w:rFonts w:asciiTheme="majorHAnsi" w:hAnsiTheme="majorHAnsi" w:cs="Arial"/>
          <w:szCs w:val="26"/>
        </w:rPr>
        <w:t xml:space="preserve">the </w:t>
      </w:r>
      <w:r w:rsidRPr="009578E0">
        <w:rPr>
          <w:rFonts w:asciiTheme="majorHAnsi" w:hAnsiTheme="majorHAnsi" w:cs="Arial"/>
          <w:szCs w:val="26"/>
        </w:rPr>
        <w:t xml:space="preserve">differences </w:t>
      </w:r>
      <w:r w:rsidR="00B04AAF">
        <w:rPr>
          <w:rFonts w:asciiTheme="majorHAnsi" w:hAnsiTheme="majorHAnsi" w:cs="Arial"/>
          <w:szCs w:val="26"/>
        </w:rPr>
        <w:t xml:space="preserve">between </w:t>
      </w:r>
      <w:r w:rsidR="007217DE">
        <w:rPr>
          <w:rFonts w:asciiTheme="majorHAnsi" w:hAnsiTheme="majorHAnsi" w:cs="Arial"/>
          <w:szCs w:val="26"/>
        </w:rPr>
        <w:t xml:space="preserve">types of </w:t>
      </w:r>
      <w:r w:rsidR="00B04AAF">
        <w:rPr>
          <w:rFonts w:asciiTheme="majorHAnsi" w:hAnsiTheme="majorHAnsi" w:cs="Arial"/>
          <w:szCs w:val="26"/>
        </w:rPr>
        <w:t xml:space="preserve">provider </w:t>
      </w:r>
      <w:r w:rsidR="007217DE">
        <w:rPr>
          <w:rFonts w:asciiTheme="majorHAnsi" w:hAnsiTheme="majorHAnsi" w:cs="Arial"/>
          <w:szCs w:val="26"/>
        </w:rPr>
        <w:t xml:space="preserve">and these were usually </w:t>
      </w:r>
      <w:r w:rsidR="00FD4068">
        <w:rPr>
          <w:rFonts w:asciiTheme="majorHAnsi" w:hAnsiTheme="majorHAnsi" w:cs="Arial"/>
          <w:szCs w:val="26"/>
        </w:rPr>
        <w:t xml:space="preserve">construed as divisions. </w:t>
      </w:r>
      <w:r w:rsidR="00E506BB">
        <w:rPr>
          <w:rFonts w:asciiTheme="majorHAnsi" w:hAnsiTheme="majorHAnsi" w:cs="Arial"/>
          <w:szCs w:val="26"/>
        </w:rPr>
        <w:t>T</w:t>
      </w:r>
      <w:r w:rsidR="00FD4068">
        <w:rPr>
          <w:rFonts w:asciiTheme="majorHAnsi" w:hAnsiTheme="majorHAnsi" w:cs="Arial"/>
          <w:szCs w:val="26"/>
        </w:rPr>
        <w:t xml:space="preserve">he submissions </w:t>
      </w:r>
      <w:r w:rsidR="00D71A82">
        <w:rPr>
          <w:rFonts w:asciiTheme="majorHAnsi" w:hAnsiTheme="majorHAnsi" w:cs="Arial"/>
          <w:szCs w:val="26"/>
        </w:rPr>
        <w:t>included information about t</w:t>
      </w:r>
      <w:r w:rsidR="00FD4068">
        <w:rPr>
          <w:rFonts w:asciiTheme="majorHAnsi" w:hAnsiTheme="majorHAnsi" w:cs="Arial"/>
          <w:szCs w:val="26"/>
        </w:rPr>
        <w:t xml:space="preserve">he </w:t>
      </w:r>
      <w:r w:rsidRPr="009578E0">
        <w:rPr>
          <w:rFonts w:asciiTheme="majorHAnsi" w:hAnsiTheme="majorHAnsi" w:cs="Arial"/>
          <w:szCs w:val="26"/>
        </w:rPr>
        <w:t>perceived preferential treatment</w:t>
      </w:r>
      <w:r w:rsidR="00FD4068">
        <w:rPr>
          <w:rFonts w:asciiTheme="majorHAnsi" w:hAnsiTheme="majorHAnsi" w:cs="Arial"/>
          <w:szCs w:val="26"/>
        </w:rPr>
        <w:t xml:space="preserve"> </w:t>
      </w:r>
      <w:r w:rsidR="002267E5">
        <w:rPr>
          <w:rFonts w:asciiTheme="majorHAnsi" w:hAnsiTheme="majorHAnsi" w:cs="Arial"/>
          <w:szCs w:val="26"/>
        </w:rPr>
        <w:t xml:space="preserve">or lack thereof </w:t>
      </w:r>
      <w:r w:rsidR="00FD4068">
        <w:rPr>
          <w:rFonts w:asciiTheme="majorHAnsi" w:hAnsiTheme="majorHAnsi" w:cs="Arial"/>
          <w:szCs w:val="26"/>
        </w:rPr>
        <w:t xml:space="preserve">of </w:t>
      </w:r>
      <w:r w:rsidR="007217DE">
        <w:rPr>
          <w:rFonts w:asciiTheme="majorHAnsi" w:hAnsiTheme="majorHAnsi" w:cs="Arial"/>
          <w:szCs w:val="26"/>
        </w:rPr>
        <w:t xml:space="preserve">different types of providers. </w:t>
      </w:r>
      <w:r w:rsidR="00FD4068">
        <w:rPr>
          <w:rFonts w:asciiTheme="majorHAnsi" w:hAnsiTheme="majorHAnsi" w:cs="Arial"/>
          <w:szCs w:val="26"/>
        </w:rPr>
        <w:t>This t</w:t>
      </w:r>
      <w:r w:rsidR="00D71A82">
        <w:rPr>
          <w:rFonts w:asciiTheme="majorHAnsi" w:hAnsiTheme="majorHAnsi" w:cs="Arial"/>
          <w:szCs w:val="26"/>
        </w:rPr>
        <w:t xml:space="preserve">ook </w:t>
      </w:r>
      <w:r w:rsidR="00FD4068">
        <w:rPr>
          <w:rFonts w:asciiTheme="majorHAnsi" w:hAnsiTheme="majorHAnsi" w:cs="Arial"/>
          <w:szCs w:val="26"/>
        </w:rPr>
        <w:t xml:space="preserve">the form of private providers speaking of the </w:t>
      </w:r>
      <w:r w:rsidR="00F12C6B">
        <w:rPr>
          <w:rFonts w:asciiTheme="majorHAnsi" w:hAnsiTheme="majorHAnsi" w:cs="Arial"/>
          <w:szCs w:val="26"/>
        </w:rPr>
        <w:t>privileging</w:t>
      </w:r>
      <w:r w:rsidR="00FD4068">
        <w:rPr>
          <w:rFonts w:asciiTheme="majorHAnsi" w:hAnsiTheme="majorHAnsi" w:cs="Arial"/>
          <w:szCs w:val="26"/>
        </w:rPr>
        <w:t xml:space="preserve"> of public TAFE providers, and vise versa. </w:t>
      </w:r>
    </w:p>
    <w:p w14:paraId="3D0FBC61" w14:textId="77777777" w:rsidR="002267E5" w:rsidRDefault="002267E5" w:rsidP="002267E5">
      <w:pPr>
        <w:jc w:val="both"/>
        <w:rPr>
          <w:rFonts w:asciiTheme="majorHAnsi" w:hAnsiTheme="majorHAnsi" w:cs="Arial"/>
          <w:szCs w:val="26"/>
        </w:rPr>
      </w:pPr>
    </w:p>
    <w:p w14:paraId="1FBAAB7C" w14:textId="77777777" w:rsidR="00AD4D09" w:rsidRPr="009578E0" w:rsidRDefault="00FD4068" w:rsidP="00AD4D09">
      <w:pPr>
        <w:jc w:val="both"/>
        <w:rPr>
          <w:rFonts w:asciiTheme="majorHAnsi" w:hAnsiTheme="majorHAnsi" w:cs="Arial"/>
          <w:szCs w:val="26"/>
        </w:rPr>
      </w:pPr>
      <w:r>
        <w:rPr>
          <w:rFonts w:asciiTheme="majorHAnsi" w:hAnsiTheme="majorHAnsi" w:cs="Arial"/>
          <w:szCs w:val="26"/>
        </w:rPr>
        <w:t xml:space="preserve">The ACFE sector submissions raised issues about the lower level funding arrangements </w:t>
      </w:r>
      <w:r w:rsidR="00270CA5">
        <w:rPr>
          <w:rFonts w:asciiTheme="majorHAnsi" w:hAnsiTheme="majorHAnsi" w:cs="Arial"/>
          <w:szCs w:val="26"/>
        </w:rPr>
        <w:t xml:space="preserve">in the sector </w:t>
      </w:r>
      <w:r>
        <w:rPr>
          <w:rFonts w:asciiTheme="majorHAnsi" w:hAnsiTheme="majorHAnsi" w:cs="Arial"/>
          <w:szCs w:val="26"/>
        </w:rPr>
        <w:t>in contrast to that allocated to the public and private providers.</w:t>
      </w:r>
      <w:r w:rsidR="00AD4D09" w:rsidRPr="009578E0">
        <w:rPr>
          <w:rFonts w:asciiTheme="majorHAnsi" w:hAnsiTheme="majorHAnsi" w:cs="Arial"/>
          <w:szCs w:val="26"/>
        </w:rPr>
        <w:t xml:space="preserve"> </w:t>
      </w:r>
      <w:r w:rsidR="00F12C6B">
        <w:rPr>
          <w:rFonts w:asciiTheme="majorHAnsi" w:hAnsiTheme="majorHAnsi" w:cs="Arial"/>
          <w:szCs w:val="26"/>
        </w:rPr>
        <w:t>A community provider does not have the scale of large public providers</w:t>
      </w:r>
      <w:r w:rsidR="00A44D91">
        <w:rPr>
          <w:rFonts w:asciiTheme="majorHAnsi" w:hAnsiTheme="majorHAnsi" w:cs="Arial"/>
          <w:szCs w:val="26"/>
        </w:rPr>
        <w:t>,</w:t>
      </w:r>
      <w:r w:rsidR="00F12C6B">
        <w:rPr>
          <w:rFonts w:asciiTheme="majorHAnsi" w:hAnsiTheme="majorHAnsi" w:cs="Arial"/>
          <w:szCs w:val="26"/>
        </w:rPr>
        <w:t xml:space="preserve"> and specialist private providers </w:t>
      </w:r>
      <w:r w:rsidR="007217DE">
        <w:rPr>
          <w:rFonts w:asciiTheme="majorHAnsi" w:hAnsiTheme="majorHAnsi" w:cs="Arial"/>
          <w:szCs w:val="26"/>
        </w:rPr>
        <w:t xml:space="preserve">who </w:t>
      </w:r>
      <w:r w:rsidR="00F12C6B">
        <w:rPr>
          <w:rFonts w:asciiTheme="majorHAnsi" w:hAnsiTheme="majorHAnsi" w:cs="Arial"/>
          <w:szCs w:val="26"/>
        </w:rPr>
        <w:t xml:space="preserve">are also differentiated by their particular focus and scale. </w:t>
      </w:r>
      <w:r w:rsidR="00AD4D09" w:rsidRPr="009578E0">
        <w:rPr>
          <w:rFonts w:asciiTheme="majorHAnsi" w:hAnsiTheme="majorHAnsi" w:cs="Arial"/>
          <w:szCs w:val="26"/>
        </w:rPr>
        <w:t xml:space="preserve">The current market as arranged in Victoria based on contestability misrecognises that there can be no contest without cooperation. An unfettered market </w:t>
      </w:r>
      <w:r w:rsidR="00AD6CDF">
        <w:rPr>
          <w:rFonts w:asciiTheme="majorHAnsi" w:hAnsiTheme="majorHAnsi" w:cs="Arial"/>
          <w:szCs w:val="26"/>
        </w:rPr>
        <w:t xml:space="preserve">that does not know and recognize differences </w:t>
      </w:r>
      <w:r w:rsidR="00AD4D09" w:rsidRPr="009578E0">
        <w:rPr>
          <w:rFonts w:asciiTheme="majorHAnsi" w:hAnsiTheme="majorHAnsi" w:cs="Arial"/>
          <w:szCs w:val="26"/>
        </w:rPr>
        <w:t>is socially, politically and economically irresponsible</w:t>
      </w:r>
      <w:r w:rsidR="007217DE">
        <w:rPr>
          <w:rFonts w:asciiTheme="majorHAnsi" w:hAnsiTheme="majorHAnsi" w:cs="Arial"/>
          <w:szCs w:val="26"/>
        </w:rPr>
        <w:t xml:space="preserve"> as it provides very little basis for cooperation and engagement</w:t>
      </w:r>
      <w:r w:rsidR="00AD6CDF">
        <w:rPr>
          <w:rFonts w:asciiTheme="majorHAnsi" w:hAnsiTheme="majorHAnsi" w:cs="Arial"/>
          <w:szCs w:val="26"/>
        </w:rPr>
        <w:t xml:space="preserve">. It results in </w:t>
      </w:r>
      <w:r w:rsidR="00A44D91">
        <w:rPr>
          <w:rFonts w:asciiTheme="majorHAnsi" w:hAnsiTheme="majorHAnsi" w:cs="Arial"/>
          <w:szCs w:val="26"/>
        </w:rPr>
        <w:t>costly and d</w:t>
      </w:r>
      <w:r w:rsidR="00AD4D09" w:rsidRPr="009578E0">
        <w:rPr>
          <w:rFonts w:asciiTheme="majorHAnsi" w:hAnsiTheme="majorHAnsi" w:cs="Arial"/>
          <w:szCs w:val="26"/>
        </w:rPr>
        <w:t xml:space="preserve">estructive </w:t>
      </w:r>
      <w:r w:rsidR="002267E5">
        <w:rPr>
          <w:rFonts w:asciiTheme="majorHAnsi" w:hAnsiTheme="majorHAnsi" w:cs="Arial"/>
          <w:szCs w:val="26"/>
        </w:rPr>
        <w:t>practice</w:t>
      </w:r>
      <w:r w:rsidR="007217DE">
        <w:rPr>
          <w:rFonts w:asciiTheme="majorHAnsi" w:hAnsiTheme="majorHAnsi" w:cs="Arial"/>
          <w:szCs w:val="26"/>
        </w:rPr>
        <w:t>s that foster</w:t>
      </w:r>
      <w:r w:rsidR="00AD6CDF">
        <w:rPr>
          <w:rFonts w:asciiTheme="majorHAnsi" w:hAnsiTheme="majorHAnsi" w:cs="Arial"/>
          <w:szCs w:val="26"/>
        </w:rPr>
        <w:t xml:space="preserve"> the exploitation </w:t>
      </w:r>
      <w:r w:rsidR="00270CA5">
        <w:rPr>
          <w:rFonts w:asciiTheme="majorHAnsi" w:hAnsiTheme="majorHAnsi" w:cs="Arial"/>
          <w:szCs w:val="26"/>
        </w:rPr>
        <w:t xml:space="preserve">of </w:t>
      </w:r>
      <w:r w:rsidR="00AD6CDF">
        <w:rPr>
          <w:rFonts w:asciiTheme="majorHAnsi" w:hAnsiTheme="majorHAnsi" w:cs="Arial"/>
          <w:szCs w:val="26"/>
        </w:rPr>
        <w:t xml:space="preserve">differences as </w:t>
      </w:r>
      <w:r w:rsidR="00AD4D09" w:rsidRPr="009578E0">
        <w:rPr>
          <w:rFonts w:asciiTheme="majorHAnsi" w:hAnsiTheme="majorHAnsi" w:cs="Arial"/>
          <w:szCs w:val="26"/>
        </w:rPr>
        <w:t>divisi</w:t>
      </w:r>
      <w:r w:rsidR="00270CA5">
        <w:rPr>
          <w:rFonts w:asciiTheme="majorHAnsi" w:hAnsiTheme="majorHAnsi" w:cs="Arial"/>
          <w:szCs w:val="26"/>
        </w:rPr>
        <w:t>ons.</w:t>
      </w:r>
      <w:r w:rsidR="00AD4D09" w:rsidRPr="009578E0">
        <w:rPr>
          <w:rFonts w:asciiTheme="majorHAnsi" w:hAnsiTheme="majorHAnsi" w:cs="Arial"/>
          <w:szCs w:val="26"/>
        </w:rPr>
        <w:t xml:space="preserve"> </w:t>
      </w:r>
    </w:p>
    <w:p w14:paraId="57516A25" w14:textId="77777777" w:rsidR="00C65BC9" w:rsidRDefault="00C65BC9" w:rsidP="00C65BC9">
      <w:pPr>
        <w:jc w:val="both"/>
        <w:rPr>
          <w:rFonts w:ascii="Times New Roman" w:hAnsi="Times New Roman"/>
          <w:sz w:val="22"/>
        </w:rPr>
      </w:pPr>
    </w:p>
    <w:p w14:paraId="6961ECD3" w14:textId="77777777" w:rsidR="002E27D7" w:rsidRDefault="002267E5" w:rsidP="00FD4068">
      <w:pPr>
        <w:jc w:val="both"/>
        <w:rPr>
          <w:rFonts w:asciiTheme="majorHAnsi" w:hAnsiTheme="majorHAnsi" w:cs="Arial"/>
          <w:szCs w:val="26"/>
        </w:rPr>
      </w:pPr>
      <w:r>
        <w:rPr>
          <w:rFonts w:asciiTheme="majorHAnsi" w:hAnsiTheme="majorHAnsi" w:cs="Arial"/>
          <w:szCs w:val="26"/>
        </w:rPr>
        <w:t>A</w:t>
      </w:r>
      <w:r w:rsidR="00F12C6B">
        <w:rPr>
          <w:rFonts w:asciiTheme="majorHAnsi" w:hAnsiTheme="majorHAnsi" w:cs="Arial"/>
          <w:szCs w:val="26"/>
        </w:rPr>
        <w:t xml:space="preserve">ll </w:t>
      </w:r>
      <w:r>
        <w:rPr>
          <w:rFonts w:asciiTheme="majorHAnsi" w:hAnsiTheme="majorHAnsi" w:cs="Arial"/>
          <w:szCs w:val="26"/>
        </w:rPr>
        <w:t xml:space="preserve">of the submissions </w:t>
      </w:r>
      <w:r w:rsidR="00F12C6B">
        <w:rPr>
          <w:rFonts w:asciiTheme="majorHAnsi" w:hAnsiTheme="majorHAnsi" w:cs="Arial"/>
          <w:szCs w:val="26"/>
        </w:rPr>
        <w:t>contain</w:t>
      </w:r>
      <w:r w:rsidR="00270CA5">
        <w:rPr>
          <w:rFonts w:asciiTheme="majorHAnsi" w:hAnsiTheme="majorHAnsi" w:cs="Arial"/>
          <w:szCs w:val="26"/>
        </w:rPr>
        <w:t>ed</w:t>
      </w:r>
      <w:r w:rsidR="00F12C6B">
        <w:rPr>
          <w:rFonts w:asciiTheme="majorHAnsi" w:hAnsiTheme="majorHAnsi" w:cs="Arial"/>
          <w:szCs w:val="26"/>
        </w:rPr>
        <w:t xml:space="preserve"> </w:t>
      </w:r>
      <w:r w:rsidR="00FD4068" w:rsidRPr="009578E0">
        <w:rPr>
          <w:rFonts w:asciiTheme="majorHAnsi" w:hAnsiTheme="majorHAnsi" w:cs="Arial"/>
          <w:szCs w:val="26"/>
        </w:rPr>
        <w:t xml:space="preserve">evidence of </w:t>
      </w:r>
      <w:r w:rsidR="00F12C6B" w:rsidRPr="009578E0">
        <w:rPr>
          <w:rFonts w:asciiTheme="majorHAnsi" w:hAnsiTheme="majorHAnsi" w:cs="Arial"/>
          <w:szCs w:val="26"/>
        </w:rPr>
        <w:t>th</w:t>
      </w:r>
      <w:r w:rsidR="00F12C6B">
        <w:rPr>
          <w:rFonts w:asciiTheme="majorHAnsi" w:hAnsiTheme="majorHAnsi" w:cs="Arial"/>
          <w:szCs w:val="26"/>
        </w:rPr>
        <w:t xml:space="preserve">e </w:t>
      </w:r>
      <w:r w:rsidR="00F12C6B" w:rsidRPr="009578E0">
        <w:rPr>
          <w:rFonts w:asciiTheme="majorHAnsi" w:hAnsiTheme="majorHAnsi" w:cs="Arial"/>
          <w:szCs w:val="26"/>
        </w:rPr>
        <w:t>uncertainty</w:t>
      </w:r>
      <w:r w:rsidR="00F12C6B">
        <w:rPr>
          <w:rFonts w:asciiTheme="majorHAnsi" w:hAnsiTheme="majorHAnsi" w:cs="Arial"/>
          <w:szCs w:val="26"/>
        </w:rPr>
        <w:t xml:space="preserve"> of the contestable market</w:t>
      </w:r>
      <w:r>
        <w:rPr>
          <w:rFonts w:asciiTheme="majorHAnsi" w:hAnsiTheme="majorHAnsi" w:cs="Arial"/>
          <w:szCs w:val="26"/>
        </w:rPr>
        <w:t xml:space="preserve">. </w:t>
      </w:r>
      <w:r w:rsidR="00FD4068" w:rsidRPr="009578E0">
        <w:rPr>
          <w:rFonts w:asciiTheme="majorHAnsi" w:hAnsiTheme="majorHAnsi" w:cs="Arial"/>
          <w:szCs w:val="26"/>
        </w:rPr>
        <w:t xml:space="preserve">While </w:t>
      </w:r>
      <w:r w:rsidR="00F12C6B">
        <w:rPr>
          <w:rFonts w:asciiTheme="majorHAnsi" w:hAnsiTheme="majorHAnsi" w:cs="Arial"/>
          <w:szCs w:val="26"/>
        </w:rPr>
        <w:t xml:space="preserve">many </w:t>
      </w:r>
      <w:r w:rsidR="00FD4068" w:rsidRPr="009578E0">
        <w:rPr>
          <w:rFonts w:asciiTheme="majorHAnsi" w:hAnsiTheme="majorHAnsi" w:cs="Arial"/>
          <w:szCs w:val="26"/>
        </w:rPr>
        <w:t xml:space="preserve">submissions </w:t>
      </w:r>
      <w:r w:rsidR="00AD6CDF">
        <w:rPr>
          <w:rFonts w:asciiTheme="majorHAnsi" w:hAnsiTheme="majorHAnsi" w:cs="Arial"/>
          <w:szCs w:val="26"/>
        </w:rPr>
        <w:t>sought to argue</w:t>
      </w:r>
      <w:r w:rsidR="00F12C6B">
        <w:rPr>
          <w:rFonts w:asciiTheme="majorHAnsi" w:hAnsiTheme="majorHAnsi" w:cs="Arial"/>
          <w:szCs w:val="26"/>
        </w:rPr>
        <w:t xml:space="preserve"> </w:t>
      </w:r>
      <w:r w:rsidR="00A44D91">
        <w:rPr>
          <w:rFonts w:asciiTheme="majorHAnsi" w:hAnsiTheme="majorHAnsi" w:cs="Arial"/>
          <w:szCs w:val="26"/>
        </w:rPr>
        <w:t xml:space="preserve">for the potential of making </w:t>
      </w:r>
      <w:r w:rsidR="00FD4068" w:rsidRPr="009578E0">
        <w:rPr>
          <w:rFonts w:asciiTheme="majorHAnsi" w:hAnsiTheme="majorHAnsi" w:cs="Arial"/>
          <w:szCs w:val="26"/>
        </w:rPr>
        <w:t>place</w:t>
      </w:r>
      <w:r w:rsidR="00F12C6B">
        <w:rPr>
          <w:rFonts w:asciiTheme="majorHAnsi" w:hAnsiTheme="majorHAnsi" w:cs="Arial"/>
          <w:szCs w:val="26"/>
        </w:rPr>
        <w:t>s</w:t>
      </w:r>
      <w:r w:rsidR="00FD4068" w:rsidRPr="009578E0">
        <w:rPr>
          <w:rFonts w:asciiTheme="majorHAnsi" w:hAnsiTheme="majorHAnsi" w:cs="Arial"/>
          <w:szCs w:val="26"/>
        </w:rPr>
        <w:t xml:space="preserve"> </w:t>
      </w:r>
      <w:r w:rsidR="00A44D91">
        <w:rPr>
          <w:rFonts w:asciiTheme="majorHAnsi" w:hAnsiTheme="majorHAnsi" w:cs="Arial"/>
          <w:szCs w:val="26"/>
        </w:rPr>
        <w:t xml:space="preserve">available </w:t>
      </w:r>
      <w:r w:rsidR="00FD4068" w:rsidRPr="009578E0">
        <w:rPr>
          <w:rFonts w:asciiTheme="majorHAnsi" w:hAnsiTheme="majorHAnsi" w:cs="Arial"/>
          <w:szCs w:val="26"/>
        </w:rPr>
        <w:t>for students</w:t>
      </w:r>
      <w:r w:rsidR="00A44D91">
        <w:rPr>
          <w:rFonts w:asciiTheme="majorHAnsi" w:hAnsiTheme="majorHAnsi" w:cs="Arial"/>
          <w:szCs w:val="26"/>
        </w:rPr>
        <w:t xml:space="preserve"> </w:t>
      </w:r>
      <w:r w:rsidR="00270CA5">
        <w:rPr>
          <w:rFonts w:asciiTheme="majorHAnsi" w:hAnsiTheme="majorHAnsi" w:cs="Arial"/>
          <w:szCs w:val="26"/>
        </w:rPr>
        <w:t xml:space="preserve">through the VTG many </w:t>
      </w:r>
      <w:r w:rsidR="00A44D91">
        <w:rPr>
          <w:rFonts w:asciiTheme="majorHAnsi" w:hAnsiTheme="majorHAnsi" w:cs="Arial"/>
          <w:szCs w:val="26"/>
        </w:rPr>
        <w:t xml:space="preserve">bemoaned the complexity and opacity of </w:t>
      </w:r>
      <w:r>
        <w:rPr>
          <w:rFonts w:asciiTheme="majorHAnsi" w:hAnsiTheme="majorHAnsi" w:cs="Arial"/>
          <w:szCs w:val="26"/>
        </w:rPr>
        <w:t>contestability.</w:t>
      </w:r>
      <w:r w:rsidR="00FD4068">
        <w:rPr>
          <w:rFonts w:asciiTheme="majorHAnsi" w:hAnsiTheme="majorHAnsi" w:cs="Arial"/>
          <w:szCs w:val="26"/>
        </w:rPr>
        <w:t xml:space="preserve"> </w:t>
      </w:r>
      <w:r w:rsidR="00A44D91">
        <w:rPr>
          <w:rFonts w:asciiTheme="majorHAnsi" w:hAnsiTheme="majorHAnsi" w:cs="Arial"/>
          <w:szCs w:val="26"/>
        </w:rPr>
        <w:t xml:space="preserve">It was </w:t>
      </w:r>
      <w:r w:rsidR="00FD4068">
        <w:rPr>
          <w:rFonts w:asciiTheme="majorHAnsi" w:hAnsiTheme="majorHAnsi" w:cs="Arial"/>
          <w:szCs w:val="26"/>
        </w:rPr>
        <w:t>the uncertaint</w:t>
      </w:r>
      <w:r w:rsidR="00F12C6B">
        <w:rPr>
          <w:rFonts w:asciiTheme="majorHAnsi" w:hAnsiTheme="majorHAnsi" w:cs="Arial"/>
          <w:szCs w:val="26"/>
        </w:rPr>
        <w:t xml:space="preserve">ies </w:t>
      </w:r>
      <w:r w:rsidR="00FD4068">
        <w:rPr>
          <w:rFonts w:asciiTheme="majorHAnsi" w:hAnsiTheme="majorHAnsi" w:cs="Arial"/>
          <w:szCs w:val="26"/>
        </w:rPr>
        <w:t xml:space="preserve">and </w:t>
      </w:r>
      <w:r w:rsidR="00F12C6B">
        <w:rPr>
          <w:rFonts w:asciiTheme="majorHAnsi" w:hAnsiTheme="majorHAnsi" w:cs="Arial"/>
          <w:szCs w:val="26"/>
        </w:rPr>
        <w:t>insecurities involved</w:t>
      </w:r>
      <w:r w:rsidR="00FD4068" w:rsidRPr="009578E0">
        <w:rPr>
          <w:rFonts w:asciiTheme="majorHAnsi" w:hAnsiTheme="majorHAnsi" w:cs="Arial"/>
          <w:szCs w:val="26"/>
        </w:rPr>
        <w:t xml:space="preserve"> in </w:t>
      </w:r>
      <w:r w:rsidR="00AD6CDF">
        <w:rPr>
          <w:rFonts w:asciiTheme="majorHAnsi" w:hAnsiTheme="majorHAnsi" w:cs="Arial"/>
          <w:szCs w:val="26"/>
        </w:rPr>
        <w:t xml:space="preserve">the VTG </w:t>
      </w:r>
      <w:r w:rsidR="00A44D91">
        <w:rPr>
          <w:rFonts w:asciiTheme="majorHAnsi" w:hAnsiTheme="majorHAnsi" w:cs="Arial"/>
          <w:szCs w:val="26"/>
        </w:rPr>
        <w:t xml:space="preserve">that </w:t>
      </w:r>
      <w:r w:rsidR="00F12C6B">
        <w:rPr>
          <w:rFonts w:asciiTheme="majorHAnsi" w:hAnsiTheme="majorHAnsi" w:cs="Arial"/>
          <w:szCs w:val="26"/>
        </w:rPr>
        <w:t xml:space="preserve">were </w:t>
      </w:r>
      <w:r w:rsidR="00AD6CDF">
        <w:rPr>
          <w:rFonts w:asciiTheme="majorHAnsi" w:hAnsiTheme="majorHAnsi" w:cs="Arial"/>
          <w:szCs w:val="26"/>
        </w:rPr>
        <w:t>made abundantly</w:t>
      </w:r>
      <w:r w:rsidR="00FD4068">
        <w:rPr>
          <w:rFonts w:asciiTheme="majorHAnsi" w:hAnsiTheme="majorHAnsi" w:cs="Arial"/>
          <w:szCs w:val="26"/>
        </w:rPr>
        <w:t xml:space="preserve"> evident through </w:t>
      </w:r>
      <w:r w:rsidR="00FD4068" w:rsidRPr="009578E0">
        <w:rPr>
          <w:rFonts w:asciiTheme="majorHAnsi" w:hAnsiTheme="majorHAnsi" w:cs="Arial"/>
          <w:szCs w:val="26"/>
        </w:rPr>
        <w:t xml:space="preserve">the </w:t>
      </w:r>
      <w:r w:rsidR="00270CA5">
        <w:rPr>
          <w:rFonts w:asciiTheme="majorHAnsi" w:hAnsiTheme="majorHAnsi" w:cs="Arial"/>
          <w:szCs w:val="26"/>
        </w:rPr>
        <w:t xml:space="preserve">vast majority of </w:t>
      </w:r>
      <w:r w:rsidR="00FD4068" w:rsidRPr="009578E0">
        <w:rPr>
          <w:rFonts w:asciiTheme="majorHAnsi" w:hAnsiTheme="majorHAnsi" w:cs="Arial"/>
          <w:szCs w:val="26"/>
        </w:rPr>
        <w:t xml:space="preserve">submissions. </w:t>
      </w:r>
    </w:p>
    <w:p w14:paraId="6CC73D41" w14:textId="77777777" w:rsidR="007217DE" w:rsidRDefault="007217DE" w:rsidP="007217DE">
      <w:pPr>
        <w:jc w:val="both"/>
        <w:rPr>
          <w:rFonts w:asciiTheme="majorHAnsi" w:hAnsiTheme="majorHAnsi" w:cs="Arial"/>
          <w:b/>
          <w:sz w:val="22"/>
          <w:szCs w:val="22"/>
        </w:rPr>
      </w:pPr>
      <w:r>
        <w:rPr>
          <w:rFonts w:asciiTheme="majorHAnsi" w:hAnsiTheme="majorHAnsi" w:cs="Arial"/>
          <w:b/>
          <w:sz w:val="22"/>
          <w:szCs w:val="22"/>
        </w:rPr>
        <w:t xml:space="preserve">        </w:t>
      </w:r>
    </w:p>
    <w:p w14:paraId="3285E851" w14:textId="77777777" w:rsidR="002E27D7" w:rsidRDefault="007217DE" w:rsidP="007217DE">
      <w:pPr>
        <w:jc w:val="both"/>
        <w:rPr>
          <w:rFonts w:asciiTheme="majorHAnsi" w:hAnsiTheme="majorHAnsi" w:cs="Arial"/>
          <w:szCs w:val="26"/>
        </w:rPr>
      </w:pPr>
      <w:r>
        <w:rPr>
          <w:rFonts w:asciiTheme="majorHAnsi" w:hAnsiTheme="majorHAnsi" w:cs="Arial"/>
          <w:b/>
          <w:sz w:val="22"/>
          <w:szCs w:val="22"/>
        </w:rPr>
        <w:t xml:space="preserve">        </w:t>
      </w:r>
      <w:r w:rsidRPr="00CF3B65">
        <w:rPr>
          <w:rFonts w:asciiTheme="majorHAnsi" w:hAnsiTheme="majorHAnsi" w:cs="Arial"/>
          <w:b/>
          <w:sz w:val="22"/>
          <w:szCs w:val="22"/>
        </w:rPr>
        <w:t xml:space="preserve">Table </w:t>
      </w:r>
      <w:r>
        <w:rPr>
          <w:rFonts w:asciiTheme="majorHAnsi" w:hAnsiTheme="majorHAnsi" w:cs="Arial"/>
          <w:b/>
          <w:sz w:val="22"/>
          <w:szCs w:val="22"/>
        </w:rPr>
        <w:t>two</w:t>
      </w:r>
      <w:r w:rsidRPr="00CF3B65">
        <w:rPr>
          <w:rFonts w:asciiTheme="majorHAnsi" w:hAnsiTheme="majorHAnsi" w:cs="Arial"/>
          <w:b/>
          <w:sz w:val="22"/>
          <w:szCs w:val="22"/>
        </w:rPr>
        <w:t xml:space="preserve">: </w:t>
      </w:r>
      <w:r>
        <w:rPr>
          <w:rFonts w:asciiTheme="majorHAnsi" w:hAnsiTheme="majorHAnsi" w:cs="Arial"/>
          <w:b/>
          <w:sz w:val="22"/>
          <w:szCs w:val="22"/>
        </w:rPr>
        <w:t xml:space="preserve">Stakeholder type submissions by number </w:t>
      </w:r>
    </w:p>
    <w:tbl>
      <w:tblPr>
        <w:tblStyle w:val="TableGrid"/>
        <w:tblW w:w="0" w:type="auto"/>
        <w:tblInd w:w="576" w:type="dxa"/>
        <w:tblLook w:val="00A0" w:firstRow="1" w:lastRow="0" w:firstColumn="1" w:lastColumn="0" w:noHBand="0" w:noVBand="0"/>
      </w:tblPr>
      <w:tblGrid>
        <w:gridCol w:w="2129"/>
        <w:gridCol w:w="999"/>
      </w:tblGrid>
      <w:tr w:rsidR="002E27D7" w14:paraId="299DB3A1" w14:textId="77777777">
        <w:tc>
          <w:tcPr>
            <w:tcW w:w="2129" w:type="dxa"/>
          </w:tcPr>
          <w:p w14:paraId="562E2F16" w14:textId="77777777" w:rsidR="002E27D7" w:rsidRPr="004F40D4" w:rsidRDefault="002E27D7" w:rsidP="00504970">
            <w:pPr>
              <w:rPr>
                <w:rFonts w:ascii="Times New Roman" w:hAnsi="Times New Roman"/>
                <w:b/>
                <w:sz w:val="22"/>
              </w:rPr>
            </w:pPr>
            <w:r w:rsidRPr="004F40D4">
              <w:rPr>
                <w:rFonts w:ascii="Times New Roman" w:hAnsi="Times New Roman"/>
                <w:b/>
                <w:sz w:val="22"/>
              </w:rPr>
              <w:t xml:space="preserve">Submission </w:t>
            </w:r>
          </w:p>
        </w:tc>
        <w:tc>
          <w:tcPr>
            <w:tcW w:w="947" w:type="dxa"/>
          </w:tcPr>
          <w:p w14:paraId="44D139A8" w14:textId="77777777" w:rsidR="002E27D7" w:rsidRPr="004F40D4" w:rsidRDefault="002E27D7" w:rsidP="00504970">
            <w:pPr>
              <w:rPr>
                <w:rFonts w:ascii="Times New Roman" w:hAnsi="Times New Roman"/>
                <w:b/>
                <w:sz w:val="22"/>
              </w:rPr>
            </w:pPr>
            <w:r w:rsidRPr="004F40D4">
              <w:rPr>
                <w:rFonts w:ascii="Times New Roman" w:hAnsi="Times New Roman"/>
                <w:b/>
                <w:sz w:val="22"/>
              </w:rPr>
              <w:t xml:space="preserve">Number </w:t>
            </w:r>
          </w:p>
        </w:tc>
      </w:tr>
      <w:tr w:rsidR="002E27D7" w14:paraId="430AA8A7" w14:textId="77777777">
        <w:tc>
          <w:tcPr>
            <w:tcW w:w="2129" w:type="dxa"/>
          </w:tcPr>
          <w:p w14:paraId="2200F9E9" w14:textId="77777777" w:rsidR="002E27D7" w:rsidRDefault="002E27D7" w:rsidP="00504970">
            <w:pPr>
              <w:rPr>
                <w:rFonts w:ascii="Times New Roman" w:hAnsi="Times New Roman"/>
                <w:sz w:val="22"/>
              </w:rPr>
            </w:pPr>
            <w:r>
              <w:rPr>
                <w:rFonts w:ascii="Times New Roman" w:hAnsi="Times New Roman"/>
                <w:sz w:val="22"/>
              </w:rPr>
              <w:t xml:space="preserve">Adult and community education </w:t>
            </w:r>
          </w:p>
        </w:tc>
        <w:tc>
          <w:tcPr>
            <w:tcW w:w="947" w:type="dxa"/>
          </w:tcPr>
          <w:p w14:paraId="1A8031FE" w14:textId="77777777" w:rsidR="002E27D7" w:rsidRDefault="002E27D7" w:rsidP="00504970">
            <w:pPr>
              <w:rPr>
                <w:rFonts w:ascii="Times New Roman" w:hAnsi="Times New Roman"/>
                <w:sz w:val="22"/>
              </w:rPr>
            </w:pPr>
            <w:r>
              <w:rPr>
                <w:rFonts w:ascii="Times New Roman" w:hAnsi="Times New Roman"/>
                <w:sz w:val="22"/>
              </w:rPr>
              <w:t>19</w:t>
            </w:r>
          </w:p>
        </w:tc>
      </w:tr>
      <w:tr w:rsidR="002E27D7" w14:paraId="50D00008" w14:textId="77777777">
        <w:tc>
          <w:tcPr>
            <w:tcW w:w="2129" w:type="dxa"/>
          </w:tcPr>
          <w:p w14:paraId="0AF4DE2C" w14:textId="77777777" w:rsidR="002E27D7" w:rsidRDefault="002E27D7" w:rsidP="00504970">
            <w:pPr>
              <w:rPr>
                <w:rFonts w:ascii="Times New Roman" w:hAnsi="Times New Roman"/>
                <w:sz w:val="22"/>
              </w:rPr>
            </w:pPr>
            <w:r>
              <w:rPr>
                <w:rFonts w:ascii="Times New Roman" w:hAnsi="Times New Roman"/>
                <w:sz w:val="22"/>
              </w:rPr>
              <w:t xml:space="preserve">Industry </w:t>
            </w:r>
          </w:p>
        </w:tc>
        <w:tc>
          <w:tcPr>
            <w:tcW w:w="947" w:type="dxa"/>
          </w:tcPr>
          <w:p w14:paraId="6EFBE6BE" w14:textId="77777777" w:rsidR="002E27D7" w:rsidRDefault="002E27D7" w:rsidP="007F36CE">
            <w:pPr>
              <w:rPr>
                <w:rFonts w:ascii="Times New Roman" w:hAnsi="Times New Roman"/>
                <w:sz w:val="22"/>
              </w:rPr>
            </w:pPr>
            <w:r>
              <w:rPr>
                <w:rFonts w:ascii="Times New Roman" w:hAnsi="Times New Roman"/>
                <w:sz w:val="22"/>
              </w:rPr>
              <w:t>16</w:t>
            </w:r>
          </w:p>
        </w:tc>
      </w:tr>
      <w:tr w:rsidR="002E27D7" w14:paraId="4E590628" w14:textId="77777777">
        <w:tc>
          <w:tcPr>
            <w:tcW w:w="2129" w:type="dxa"/>
          </w:tcPr>
          <w:p w14:paraId="569E1A3B" w14:textId="77777777" w:rsidR="002E27D7" w:rsidRDefault="002E27D7" w:rsidP="00504970">
            <w:pPr>
              <w:rPr>
                <w:rFonts w:ascii="Times New Roman" w:hAnsi="Times New Roman"/>
                <w:sz w:val="22"/>
              </w:rPr>
            </w:pPr>
            <w:r>
              <w:rPr>
                <w:rFonts w:ascii="Times New Roman" w:hAnsi="Times New Roman"/>
                <w:sz w:val="22"/>
              </w:rPr>
              <w:t xml:space="preserve">TAFE </w:t>
            </w:r>
          </w:p>
        </w:tc>
        <w:tc>
          <w:tcPr>
            <w:tcW w:w="947" w:type="dxa"/>
          </w:tcPr>
          <w:p w14:paraId="0A6135C9" w14:textId="77777777" w:rsidR="002E27D7" w:rsidRDefault="002E27D7" w:rsidP="00504970">
            <w:pPr>
              <w:rPr>
                <w:rFonts w:ascii="Times New Roman" w:hAnsi="Times New Roman"/>
                <w:sz w:val="22"/>
              </w:rPr>
            </w:pPr>
            <w:r>
              <w:rPr>
                <w:rFonts w:ascii="Times New Roman" w:hAnsi="Times New Roman"/>
                <w:sz w:val="22"/>
              </w:rPr>
              <w:t>11</w:t>
            </w:r>
          </w:p>
        </w:tc>
      </w:tr>
      <w:tr w:rsidR="002E27D7" w14:paraId="2FC310FD" w14:textId="77777777">
        <w:tc>
          <w:tcPr>
            <w:tcW w:w="2129" w:type="dxa"/>
          </w:tcPr>
          <w:p w14:paraId="484E17D4" w14:textId="77777777" w:rsidR="002E27D7" w:rsidRDefault="002E27D7" w:rsidP="00504970">
            <w:pPr>
              <w:rPr>
                <w:rFonts w:ascii="Times New Roman" w:hAnsi="Times New Roman"/>
                <w:sz w:val="22"/>
              </w:rPr>
            </w:pPr>
            <w:r>
              <w:rPr>
                <w:rFonts w:ascii="Times New Roman" w:hAnsi="Times New Roman"/>
                <w:sz w:val="22"/>
              </w:rPr>
              <w:t xml:space="preserve">Individual </w:t>
            </w:r>
          </w:p>
        </w:tc>
        <w:tc>
          <w:tcPr>
            <w:tcW w:w="947" w:type="dxa"/>
          </w:tcPr>
          <w:p w14:paraId="76F4FE0C" w14:textId="77777777" w:rsidR="002E27D7" w:rsidRDefault="002E27D7" w:rsidP="00504970">
            <w:pPr>
              <w:rPr>
                <w:rFonts w:ascii="Times New Roman" w:hAnsi="Times New Roman"/>
                <w:sz w:val="22"/>
              </w:rPr>
            </w:pPr>
            <w:r>
              <w:rPr>
                <w:rFonts w:ascii="Times New Roman" w:hAnsi="Times New Roman"/>
                <w:sz w:val="22"/>
              </w:rPr>
              <w:t>9</w:t>
            </w:r>
          </w:p>
        </w:tc>
      </w:tr>
      <w:tr w:rsidR="002E27D7" w14:paraId="4F7757EF" w14:textId="77777777">
        <w:tc>
          <w:tcPr>
            <w:tcW w:w="2129" w:type="dxa"/>
          </w:tcPr>
          <w:p w14:paraId="696F92D9" w14:textId="77777777" w:rsidR="002E27D7" w:rsidRDefault="002E27D7" w:rsidP="00504970">
            <w:pPr>
              <w:rPr>
                <w:rFonts w:ascii="Times New Roman" w:hAnsi="Times New Roman"/>
                <w:sz w:val="22"/>
              </w:rPr>
            </w:pPr>
            <w:r>
              <w:rPr>
                <w:rFonts w:ascii="Times New Roman" w:hAnsi="Times New Roman"/>
                <w:sz w:val="22"/>
              </w:rPr>
              <w:t>Private RTO</w:t>
            </w:r>
          </w:p>
        </w:tc>
        <w:tc>
          <w:tcPr>
            <w:tcW w:w="947" w:type="dxa"/>
          </w:tcPr>
          <w:p w14:paraId="78617FF8" w14:textId="77777777" w:rsidR="002E27D7" w:rsidRDefault="002E27D7" w:rsidP="00504970">
            <w:pPr>
              <w:rPr>
                <w:rFonts w:ascii="Times New Roman" w:hAnsi="Times New Roman"/>
                <w:sz w:val="22"/>
              </w:rPr>
            </w:pPr>
            <w:r>
              <w:rPr>
                <w:rFonts w:ascii="Times New Roman" w:hAnsi="Times New Roman"/>
                <w:sz w:val="22"/>
              </w:rPr>
              <w:t>5</w:t>
            </w:r>
          </w:p>
        </w:tc>
      </w:tr>
      <w:tr w:rsidR="002E27D7" w14:paraId="202404C5" w14:textId="77777777">
        <w:tc>
          <w:tcPr>
            <w:tcW w:w="2129" w:type="dxa"/>
          </w:tcPr>
          <w:p w14:paraId="30755BFE" w14:textId="77777777" w:rsidR="002E27D7" w:rsidRDefault="002E27D7" w:rsidP="00504970">
            <w:pPr>
              <w:rPr>
                <w:rFonts w:ascii="Times New Roman" w:hAnsi="Times New Roman"/>
                <w:sz w:val="22"/>
              </w:rPr>
            </w:pPr>
            <w:r>
              <w:rPr>
                <w:rFonts w:ascii="Times New Roman" w:hAnsi="Times New Roman"/>
                <w:sz w:val="22"/>
              </w:rPr>
              <w:t xml:space="preserve">Secondary School </w:t>
            </w:r>
          </w:p>
        </w:tc>
        <w:tc>
          <w:tcPr>
            <w:tcW w:w="947" w:type="dxa"/>
          </w:tcPr>
          <w:p w14:paraId="2156F5E5" w14:textId="77777777" w:rsidR="002E27D7" w:rsidRDefault="002E27D7" w:rsidP="00504970">
            <w:pPr>
              <w:rPr>
                <w:rFonts w:ascii="Times New Roman" w:hAnsi="Times New Roman"/>
                <w:sz w:val="22"/>
              </w:rPr>
            </w:pPr>
            <w:r>
              <w:rPr>
                <w:rFonts w:ascii="Times New Roman" w:hAnsi="Times New Roman"/>
                <w:sz w:val="22"/>
              </w:rPr>
              <w:t>1</w:t>
            </w:r>
          </w:p>
        </w:tc>
      </w:tr>
      <w:tr w:rsidR="002E27D7" w14:paraId="23AC2D82" w14:textId="77777777">
        <w:tc>
          <w:tcPr>
            <w:tcW w:w="2129" w:type="dxa"/>
          </w:tcPr>
          <w:p w14:paraId="20D7C459" w14:textId="77777777" w:rsidR="002E27D7" w:rsidRDefault="002E27D7" w:rsidP="00504970">
            <w:pPr>
              <w:rPr>
                <w:rFonts w:ascii="Times New Roman" w:hAnsi="Times New Roman"/>
                <w:sz w:val="22"/>
              </w:rPr>
            </w:pPr>
            <w:r>
              <w:rPr>
                <w:rFonts w:ascii="Times New Roman" w:hAnsi="Times New Roman"/>
                <w:sz w:val="22"/>
              </w:rPr>
              <w:t xml:space="preserve">Local government </w:t>
            </w:r>
          </w:p>
        </w:tc>
        <w:tc>
          <w:tcPr>
            <w:tcW w:w="947" w:type="dxa"/>
          </w:tcPr>
          <w:p w14:paraId="10944873" w14:textId="77777777" w:rsidR="002E27D7" w:rsidRDefault="002E27D7" w:rsidP="00504970">
            <w:pPr>
              <w:rPr>
                <w:rFonts w:ascii="Times New Roman" w:hAnsi="Times New Roman"/>
                <w:sz w:val="22"/>
              </w:rPr>
            </w:pPr>
            <w:r>
              <w:rPr>
                <w:rFonts w:ascii="Times New Roman" w:hAnsi="Times New Roman"/>
                <w:sz w:val="22"/>
              </w:rPr>
              <w:t>1</w:t>
            </w:r>
          </w:p>
        </w:tc>
      </w:tr>
      <w:tr w:rsidR="002E27D7" w14:paraId="04D08418" w14:textId="77777777">
        <w:tc>
          <w:tcPr>
            <w:tcW w:w="2129" w:type="dxa"/>
          </w:tcPr>
          <w:p w14:paraId="1F5AA3E1" w14:textId="77777777" w:rsidR="002E27D7" w:rsidRDefault="002E27D7" w:rsidP="00504970">
            <w:pPr>
              <w:rPr>
                <w:rFonts w:ascii="Times New Roman" w:hAnsi="Times New Roman"/>
                <w:sz w:val="22"/>
              </w:rPr>
            </w:pPr>
            <w:r>
              <w:rPr>
                <w:rFonts w:ascii="Times New Roman" w:hAnsi="Times New Roman"/>
                <w:sz w:val="22"/>
              </w:rPr>
              <w:t xml:space="preserve">Research </w:t>
            </w:r>
          </w:p>
        </w:tc>
        <w:tc>
          <w:tcPr>
            <w:tcW w:w="947" w:type="dxa"/>
          </w:tcPr>
          <w:p w14:paraId="734DA56F" w14:textId="77777777" w:rsidR="002E27D7" w:rsidRDefault="002E27D7" w:rsidP="00504970">
            <w:pPr>
              <w:rPr>
                <w:rFonts w:ascii="Times New Roman" w:hAnsi="Times New Roman"/>
                <w:sz w:val="22"/>
              </w:rPr>
            </w:pPr>
            <w:r>
              <w:rPr>
                <w:rFonts w:ascii="Times New Roman" w:hAnsi="Times New Roman"/>
                <w:sz w:val="22"/>
              </w:rPr>
              <w:t>1</w:t>
            </w:r>
          </w:p>
        </w:tc>
      </w:tr>
      <w:tr w:rsidR="002E27D7" w14:paraId="14A4755C" w14:textId="77777777">
        <w:tc>
          <w:tcPr>
            <w:tcW w:w="2129" w:type="dxa"/>
          </w:tcPr>
          <w:p w14:paraId="4E684E6E" w14:textId="77777777" w:rsidR="002E27D7" w:rsidRPr="004F40D4" w:rsidRDefault="002E27D7" w:rsidP="00504970">
            <w:pPr>
              <w:rPr>
                <w:rFonts w:ascii="Times New Roman" w:hAnsi="Times New Roman"/>
                <w:sz w:val="22"/>
              </w:rPr>
            </w:pPr>
            <w:r w:rsidRPr="004F40D4">
              <w:rPr>
                <w:rFonts w:ascii="Times New Roman" w:hAnsi="Times New Roman"/>
                <w:sz w:val="22"/>
              </w:rPr>
              <w:t xml:space="preserve">Total </w:t>
            </w:r>
          </w:p>
        </w:tc>
        <w:tc>
          <w:tcPr>
            <w:tcW w:w="947" w:type="dxa"/>
          </w:tcPr>
          <w:p w14:paraId="1295B744" w14:textId="77777777" w:rsidR="002E27D7" w:rsidRPr="004F40D4" w:rsidRDefault="002E27D7" w:rsidP="00504970">
            <w:pPr>
              <w:rPr>
                <w:rFonts w:ascii="Times New Roman" w:hAnsi="Times New Roman"/>
                <w:sz w:val="22"/>
              </w:rPr>
            </w:pPr>
            <w:r w:rsidRPr="004F40D4">
              <w:rPr>
                <w:rFonts w:ascii="Times New Roman" w:hAnsi="Times New Roman"/>
                <w:sz w:val="22"/>
              </w:rPr>
              <w:t>63</w:t>
            </w:r>
          </w:p>
        </w:tc>
      </w:tr>
    </w:tbl>
    <w:p w14:paraId="0437131B" w14:textId="77777777" w:rsidR="00F12C6B" w:rsidRDefault="00F12C6B" w:rsidP="00B04AAF">
      <w:pPr>
        <w:jc w:val="both"/>
        <w:rPr>
          <w:rFonts w:asciiTheme="majorHAnsi" w:hAnsiTheme="majorHAnsi" w:cs="Arial"/>
          <w:szCs w:val="26"/>
        </w:rPr>
      </w:pPr>
    </w:p>
    <w:p w14:paraId="4FE4ADA0" w14:textId="77777777" w:rsidR="00F12C6B" w:rsidRDefault="00926173" w:rsidP="00B04AAF">
      <w:pPr>
        <w:jc w:val="both"/>
        <w:rPr>
          <w:rFonts w:asciiTheme="majorHAnsi" w:hAnsiTheme="majorHAnsi" w:cs="Arial"/>
          <w:szCs w:val="26"/>
        </w:rPr>
      </w:pPr>
      <w:r w:rsidRPr="009578E0">
        <w:rPr>
          <w:rFonts w:asciiTheme="majorHAnsi" w:hAnsiTheme="majorHAnsi" w:cs="Arial"/>
          <w:szCs w:val="26"/>
        </w:rPr>
        <w:lastRenderedPageBreak/>
        <w:t xml:space="preserve">In examining the submissions made to the Essential Services Commissions </w:t>
      </w:r>
      <w:r w:rsidR="007217DE">
        <w:rPr>
          <w:rFonts w:asciiTheme="majorHAnsi" w:hAnsiTheme="majorHAnsi" w:cs="Arial"/>
          <w:szCs w:val="26"/>
        </w:rPr>
        <w:t xml:space="preserve">inquiry into VET </w:t>
      </w:r>
      <w:r w:rsidRPr="009578E0">
        <w:rPr>
          <w:rFonts w:asciiTheme="majorHAnsi" w:hAnsiTheme="majorHAnsi" w:cs="Arial"/>
          <w:szCs w:val="26"/>
        </w:rPr>
        <w:t xml:space="preserve">fees and funding the unity of concern about </w:t>
      </w:r>
      <w:r w:rsidR="00A44D91">
        <w:rPr>
          <w:rFonts w:asciiTheme="majorHAnsi" w:hAnsiTheme="majorHAnsi" w:cs="Arial"/>
          <w:szCs w:val="26"/>
        </w:rPr>
        <w:t xml:space="preserve">a </w:t>
      </w:r>
      <w:r w:rsidRPr="009578E0">
        <w:rPr>
          <w:rFonts w:asciiTheme="majorHAnsi" w:hAnsiTheme="majorHAnsi" w:cs="Arial"/>
          <w:szCs w:val="26"/>
        </w:rPr>
        <w:t xml:space="preserve">preoccupation with competition </w:t>
      </w:r>
      <w:r w:rsidR="00DE1A6D" w:rsidRPr="009578E0">
        <w:rPr>
          <w:rFonts w:asciiTheme="majorHAnsi" w:hAnsiTheme="majorHAnsi" w:cs="Arial"/>
          <w:szCs w:val="26"/>
        </w:rPr>
        <w:t xml:space="preserve">and choice at the expense of other principles </w:t>
      </w:r>
      <w:r w:rsidRPr="009578E0">
        <w:rPr>
          <w:rFonts w:asciiTheme="majorHAnsi" w:hAnsiTheme="majorHAnsi" w:cs="Arial"/>
          <w:szCs w:val="26"/>
        </w:rPr>
        <w:t>was overwhelming. Providers (public, private, adult &amp; community, enterprise), industry, students and community s</w:t>
      </w:r>
      <w:r w:rsidR="007217DE">
        <w:rPr>
          <w:rFonts w:asciiTheme="majorHAnsi" w:hAnsiTheme="majorHAnsi" w:cs="Arial"/>
          <w:szCs w:val="26"/>
        </w:rPr>
        <w:t xml:space="preserve">takeholders </w:t>
      </w:r>
      <w:r w:rsidRPr="009578E0">
        <w:rPr>
          <w:rFonts w:asciiTheme="majorHAnsi" w:hAnsiTheme="majorHAnsi" w:cs="Arial"/>
          <w:szCs w:val="26"/>
        </w:rPr>
        <w:t>all expressed reservation</w:t>
      </w:r>
      <w:r w:rsidR="007217DE">
        <w:rPr>
          <w:rFonts w:asciiTheme="majorHAnsi" w:hAnsiTheme="majorHAnsi" w:cs="Arial"/>
          <w:szCs w:val="26"/>
        </w:rPr>
        <w:t>s</w:t>
      </w:r>
      <w:r w:rsidRPr="009578E0">
        <w:rPr>
          <w:rFonts w:asciiTheme="majorHAnsi" w:hAnsiTheme="majorHAnsi" w:cs="Arial"/>
          <w:szCs w:val="26"/>
        </w:rPr>
        <w:t xml:space="preserve"> about the shortfalls</w:t>
      </w:r>
      <w:r w:rsidR="00254ED3">
        <w:rPr>
          <w:rFonts w:asciiTheme="majorHAnsi" w:hAnsiTheme="majorHAnsi" w:cs="Arial"/>
          <w:szCs w:val="26"/>
        </w:rPr>
        <w:t xml:space="preserve"> </w:t>
      </w:r>
      <w:r w:rsidR="00DE1A6D" w:rsidRPr="009578E0">
        <w:rPr>
          <w:rFonts w:asciiTheme="majorHAnsi" w:hAnsiTheme="majorHAnsi" w:cs="Arial"/>
          <w:szCs w:val="26"/>
        </w:rPr>
        <w:t xml:space="preserve">and detrimental effects of </w:t>
      </w:r>
      <w:r w:rsidRPr="009578E0">
        <w:rPr>
          <w:rFonts w:asciiTheme="majorHAnsi" w:hAnsiTheme="majorHAnsi" w:cs="Arial"/>
          <w:szCs w:val="26"/>
        </w:rPr>
        <w:t>the reform processes. This was evident in every submissions critique of the restrictive eligibility requirements premised upon student age, previous qualification</w:t>
      </w:r>
      <w:r w:rsidR="00FB61FA" w:rsidRPr="009578E0">
        <w:rPr>
          <w:rFonts w:asciiTheme="majorHAnsi" w:hAnsiTheme="majorHAnsi" w:cs="Arial"/>
          <w:szCs w:val="26"/>
        </w:rPr>
        <w:t xml:space="preserve"> held and the type of course being pursued. While the Victorian government has lauded the </w:t>
      </w:r>
      <w:r w:rsidR="00F12C6B">
        <w:rPr>
          <w:rFonts w:asciiTheme="majorHAnsi" w:hAnsiTheme="majorHAnsi" w:cs="Arial"/>
          <w:szCs w:val="26"/>
        </w:rPr>
        <w:t>direction</w:t>
      </w:r>
      <w:r w:rsidR="00FB61FA" w:rsidRPr="009578E0">
        <w:rPr>
          <w:rFonts w:asciiTheme="majorHAnsi" w:hAnsiTheme="majorHAnsi" w:cs="Arial"/>
          <w:szCs w:val="26"/>
        </w:rPr>
        <w:t xml:space="preserve"> of these reforms through increased participation </w:t>
      </w:r>
      <w:r w:rsidR="00F12C6B">
        <w:rPr>
          <w:rFonts w:asciiTheme="majorHAnsi" w:hAnsiTheme="majorHAnsi" w:cs="Arial"/>
          <w:szCs w:val="26"/>
        </w:rPr>
        <w:t>rates</w:t>
      </w:r>
      <w:r w:rsidR="007217DE">
        <w:rPr>
          <w:rFonts w:asciiTheme="majorHAnsi" w:hAnsiTheme="majorHAnsi" w:cs="Arial"/>
          <w:szCs w:val="26"/>
        </w:rPr>
        <w:t>,</w:t>
      </w:r>
      <w:r w:rsidR="00F12C6B">
        <w:rPr>
          <w:rFonts w:asciiTheme="majorHAnsi" w:hAnsiTheme="majorHAnsi" w:cs="Arial"/>
          <w:szCs w:val="26"/>
        </w:rPr>
        <w:t xml:space="preserve"> </w:t>
      </w:r>
      <w:r w:rsidR="00FB61FA" w:rsidRPr="009578E0">
        <w:rPr>
          <w:rFonts w:asciiTheme="majorHAnsi" w:hAnsiTheme="majorHAnsi" w:cs="Arial"/>
          <w:szCs w:val="26"/>
        </w:rPr>
        <w:t xml:space="preserve">all of the submissions highlighted the need to be vigilant about the quality of VET. </w:t>
      </w:r>
    </w:p>
    <w:p w14:paraId="12E5C385" w14:textId="77777777" w:rsidR="00C65BC9" w:rsidRDefault="00C65BC9" w:rsidP="00C65BC9">
      <w:pPr>
        <w:rPr>
          <w:rFonts w:asciiTheme="majorHAnsi" w:hAnsiTheme="majorHAnsi" w:cs="Arial"/>
          <w:szCs w:val="26"/>
        </w:rPr>
      </w:pPr>
    </w:p>
    <w:p w14:paraId="138A8A7A" w14:textId="77777777" w:rsidR="00270CA5" w:rsidRDefault="00B17F9D" w:rsidP="00F12C6B">
      <w:pPr>
        <w:jc w:val="both"/>
        <w:rPr>
          <w:rFonts w:asciiTheme="majorHAnsi" w:hAnsiTheme="majorHAnsi" w:cs="Arial"/>
          <w:szCs w:val="26"/>
        </w:rPr>
      </w:pPr>
      <w:r w:rsidRPr="009578E0">
        <w:rPr>
          <w:rFonts w:asciiTheme="majorHAnsi" w:hAnsiTheme="majorHAnsi" w:cs="Arial"/>
          <w:szCs w:val="26"/>
        </w:rPr>
        <w:t>The following table outlines the sub</w:t>
      </w:r>
      <w:r w:rsidR="003F4B4C">
        <w:rPr>
          <w:rFonts w:asciiTheme="majorHAnsi" w:hAnsiTheme="majorHAnsi" w:cs="Arial"/>
          <w:szCs w:val="26"/>
        </w:rPr>
        <w:t>missions made by organis</w:t>
      </w:r>
      <w:r w:rsidR="004F40D4">
        <w:rPr>
          <w:rFonts w:asciiTheme="majorHAnsi" w:hAnsiTheme="majorHAnsi" w:cs="Arial"/>
          <w:szCs w:val="26"/>
        </w:rPr>
        <w:t xml:space="preserve">ations </w:t>
      </w:r>
      <w:r w:rsidR="00AD6CDF">
        <w:rPr>
          <w:rFonts w:asciiTheme="majorHAnsi" w:hAnsiTheme="majorHAnsi" w:cs="Arial"/>
          <w:szCs w:val="26"/>
        </w:rPr>
        <w:t xml:space="preserve">and a summary of the key issues </w:t>
      </w:r>
      <w:r w:rsidR="004F40D4">
        <w:rPr>
          <w:rFonts w:asciiTheme="majorHAnsi" w:hAnsiTheme="majorHAnsi" w:cs="Arial"/>
          <w:szCs w:val="26"/>
        </w:rPr>
        <w:t xml:space="preserve">developed </w:t>
      </w:r>
      <w:r w:rsidR="00AD6CDF">
        <w:rPr>
          <w:rFonts w:asciiTheme="majorHAnsi" w:hAnsiTheme="majorHAnsi" w:cs="Arial"/>
          <w:szCs w:val="26"/>
        </w:rPr>
        <w:t xml:space="preserve">and presented in the submissions by the different stakeholders in the VET market/system. </w:t>
      </w:r>
      <w:r w:rsidR="004F40D4">
        <w:rPr>
          <w:rFonts w:asciiTheme="majorHAnsi" w:hAnsiTheme="majorHAnsi" w:cs="Arial"/>
          <w:szCs w:val="26"/>
        </w:rPr>
        <w:t xml:space="preserve"> </w:t>
      </w:r>
      <w:r w:rsidR="003F4B4C">
        <w:rPr>
          <w:rFonts w:asciiTheme="majorHAnsi" w:hAnsiTheme="majorHAnsi" w:cs="Arial"/>
          <w:szCs w:val="26"/>
        </w:rPr>
        <w:t>(See appendix one)</w:t>
      </w:r>
    </w:p>
    <w:p w14:paraId="44EF36E6" w14:textId="77777777" w:rsidR="009378E2" w:rsidRDefault="009378E2" w:rsidP="00F12C6B">
      <w:pPr>
        <w:jc w:val="both"/>
        <w:rPr>
          <w:rFonts w:asciiTheme="majorHAnsi" w:hAnsiTheme="majorHAnsi" w:cs="Arial"/>
          <w:szCs w:val="26"/>
        </w:rPr>
      </w:pPr>
    </w:p>
    <w:p w14:paraId="2819E175" w14:textId="77777777" w:rsidR="00A44D91" w:rsidRPr="00681966" w:rsidRDefault="009378E2" w:rsidP="00F12C6B">
      <w:pPr>
        <w:jc w:val="both"/>
        <w:rPr>
          <w:rFonts w:asciiTheme="majorHAnsi" w:hAnsiTheme="majorHAnsi" w:cs="Arial"/>
          <w:b/>
          <w:sz w:val="22"/>
          <w:szCs w:val="22"/>
        </w:rPr>
      </w:pPr>
      <w:r>
        <w:rPr>
          <w:rFonts w:asciiTheme="majorHAnsi" w:hAnsiTheme="majorHAnsi" w:cs="Arial"/>
          <w:b/>
          <w:sz w:val="22"/>
          <w:szCs w:val="22"/>
        </w:rPr>
        <w:t xml:space="preserve">        </w:t>
      </w:r>
      <w:r w:rsidR="00681966" w:rsidRPr="00681966">
        <w:rPr>
          <w:rFonts w:asciiTheme="majorHAnsi" w:hAnsiTheme="majorHAnsi" w:cs="Arial"/>
          <w:b/>
          <w:sz w:val="22"/>
          <w:szCs w:val="22"/>
        </w:rPr>
        <w:t>Table three: submission stakeholder category and key issues themes of submission</w:t>
      </w:r>
    </w:p>
    <w:tbl>
      <w:tblPr>
        <w:tblStyle w:val="TableGrid"/>
        <w:tblW w:w="0" w:type="auto"/>
        <w:tblInd w:w="576" w:type="dxa"/>
        <w:tblLook w:val="00A0" w:firstRow="1" w:lastRow="0" w:firstColumn="1" w:lastColumn="0" w:noHBand="0" w:noVBand="0"/>
      </w:tblPr>
      <w:tblGrid>
        <w:gridCol w:w="2129"/>
        <w:gridCol w:w="5341"/>
      </w:tblGrid>
      <w:tr w:rsidR="00270CA5" w14:paraId="08828ADD" w14:textId="77777777">
        <w:tc>
          <w:tcPr>
            <w:tcW w:w="2129" w:type="dxa"/>
          </w:tcPr>
          <w:p w14:paraId="03EB1F6C" w14:textId="77777777" w:rsidR="00270CA5" w:rsidRPr="004F40D4" w:rsidRDefault="00270CA5" w:rsidP="00504970">
            <w:pPr>
              <w:rPr>
                <w:rFonts w:ascii="Times New Roman" w:hAnsi="Times New Roman"/>
                <w:b/>
                <w:sz w:val="22"/>
              </w:rPr>
            </w:pPr>
            <w:r w:rsidRPr="004F40D4">
              <w:rPr>
                <w:rFonts w:ascii="Times New Roman" w:hAnsi="Times New Roman"/>
                <w:b/>
                <w:sz w:val="22"/>
              </w:rPr>
              <w:t xml:space="preserve">Submission </w:t>
            </w:r>
          </w:p>
        </w:tc>
        <w:tc>
          <w:tcPr>
            <w:tcW w:w="5341" w:type="dxa"/>
          </w:tcPr>
          <w:p w14:paraId="6E212482" w14:textId="77777777" w:rsidR="00270CA5" w:rsidRPr="004F40D4" w:rsidRDefault="00270CA5" w:rsidP="00504970">
            <w:pPr>
              <w:rPr>
                <w:rFonts w:ascii="Times New Roman" w:hAnsi="Times New Roman"/>
                <w:b/>
                <w:sz w:val="22"/>
              </w:rPr>
            </w:pPr>
            <w:r>
              <w:rPr>
                <w:rFonts w:ascii="Times New Roman" w:hAnsi="Times New Roman"/>
                <w:b/>
                <w:sz w:val="22"/>
              </w:rPr>
              <w:t xml:space="preserve">Key Issues </w:t>
            </w:r>
          </w:p>
        </w:tc>
      </w:tr>
      <w:tr w:rsidR="00270CA5" w14:paraId="3F563AE5" w14:textId="77777777">
        <w:tc>
          <w:tcPr>
            <w:tcW w:w="2129" w:type="dxa"/>
          </w:tcPr>
          <w:p w14:paraId="1315E8AD" w14:textId="77777777" w:rsidR="00270CA5" w:rsidRDefault="00270CA5" w:rsidP="00504970">
            <w:pPr>
              <w:rPr>
                <w:rFonts w:ascii="Times New Roman" w:hAnsi="Times New Roman"/>
                <w:sz w:val="22"/>
              </w:rPr>
            </w:pPr>
            <w:r>
              <w:rPr>
                <w:rFonts w:ascii="Times New Roman" w:hAnsi="Times New Roman"/>
                <w:sz w:val="22"/>
              </w:rPr>
              <w:t xml:space="preserve">Adult and community education </w:t>
            </w:r>
          </w:p>
        </w:tc>
        <w:tc>
          <w:tcPr>
            <w:tcW w:w="5341" w:type="dxa"/>
          </w:tcPr>
          <w:p w14:paraId="4A8BE4A7" w14:textId="77777777" w:rsidR="00270CA5" w:rsidRDefault="00270CA5" w:rsidP="00270CA5">
            <w:pPr>
              <w:pStyle w:val="ListParagraph"/>
              <w:numPr>
                <w:ilvl w:val="0"/>
                <w:numId w:val="2"/>
              </w:numPr>
              <w:rPr>
                <w:rFonts w:ascii="Times New Roman" w:hAnsi="Times New Roman"/>
                <w:sz w:val="22"/>
              </w:rPr>
            </w:pPr>
            <w:r>
              <w:rPr>
                <w:rFonts w:ascii="Times New Roman" w:hAnsi="Times New Roman"/>
                <w:sz w:val="22"/>
              </w:rPr>
              <w:t>Lower funding</w:t>
            </w:r>
          </w:p>
          <w:p w14:paraId="73CFB029" w14:textId="77777777" w:rsidR="00270CA5" w:rsidRDefault="00270CA5" w:rsidP="00270CA5">
            <w:pPr>
              <w:pStyle w:val="ListParagraph"/>
              <w:numPr>
                <w:ilvl w:val="0"/>
                <w:numId w:val="2"/>
              </w:numPr>
              <w:rPr>
                <w:rFonts w:ascii="Times New Roman" w:hAnsi="Times New Roman"/>
                <w:sz w:val="22"/>
              </w:rPr>
            </w:pPr>
            <w:r>
              <w:rPr>
                <w:rFonts w:ascii="Times New Roman" w:hAnsi="Times New Roman"/>
                <w:sz w:val="22"/>
              </w:rPr>
              <w:t>Learners with high support needs</w:t>
            </w:r>
          </w:p>
          <w:p w14:paraId="01A5F867" w14:textId="77777777" w:rsidR="00AD6CDF" w:rsidRDefault="00AD6CDF" w:rsidP="00270CA5">
            <w:pPr>
              <w:pStyle w:val="ListParagraph"/>
              <w:numPr>
                <w:ilvl w:val="0"/>
                <w:numId w:val="2"/>
              </w:numPr>
              <w:rPr>
                <w:rFonts w:ascii="Times New Roman" w:hAnsi="Times New Roman"/>
                <w:sz w:val="22"/>
              </w:rPr>
            </w:pPr>
            <w:r>
              <w:rPr>
                <w:rFonts w:ascii="Times New Roman" w:hAnsi="Times New Roman"/>
                <w:sz w:val="22"/>
              </w:rPr>
              <w:t xml:space="preserve">Administrative </w:t>
            </w:r>
            <w:r w:rsidR="00270CA5">
              <w:rPr>
                <w:rFonts w:ascii="Times New Roman" w:hAnsi="Times New Roman"/>
                <w:sz w:val="22"/>
              </w:rPr>
              <w:t>Cost</w:t>
            </w:r>
            <w:r>
              <w:rPr>
                <w:rFonts w:ascii="Times New Roman" w:hAnsi="Times New Roman"/>
                <w:sz w:val="22"/>
              </w:rPr>
              <w:t>s</w:t>
            </w:r>
            <w:r w:rsidR="00270CA5">
              <w:rPr>
                <w:rFonts w:ascii="Times New Roman" w:hAnsi="Times New Roman"/>
                <w:sz w:val="22"/>
              </w:rPr>
              <w:t xml:space="preserve"> of contestability </w:t>
            </w:r>
          </w:p>
          <w:p w14:paraId="57374349" w14:textId="77777777" w:rsidR="00270CA5" w:rsidRDefault="00AD6CDF" w:rsidP="00270CA5">
            <w:pPr>
              <w:pStyle w:val="ListParagraph"/>
              <w:numPr>
                <w:ilvl w:val="0"/>
                <w:numId w:val="2"/>
              </w:numPr>
              <w:rPr>
                <w:rFonts w:ascii="Times New Roman" w:hAnsi="Times New Roman"/>
                <w:sz w:val="22"/>
              </w:rPr>
            </w:pPr>
            <w:r>
              <w:rPr>
                <w:rFonts w:ascii="Times New Roman" w:hAnsi="Times New Roman"/>
                <w:sz w:val="22"/>
              </w:rPr>
              <w:t>A</w:t>
            </w:r>
            <w:r w:rsidR="00270CA5">
              <w:rPr>
                <w:rFonts w:ascii="Times New Roman" w:hAnsi="Times New Roman"/>
                <w:sz w:val="22"/>
              </w:rPr>
              <w:t>dministration of VET FEE HELP</w:t>
            </w:r>
          </w:p>
          <w:p w14:paraId="7E1D2660" w14:textId="77777777" w:rsidR="00270CA5" w:rsidRPr="00270CA5" w:rsidRDefault="00152561" w:rsidP="00270CA5">
            <w:pPr>
              <w:pStyle w:val="ListParagraph"/>
              <w:numPr>
                <w:ilvl w:val="0"/>
                <w:numId w:val="2"/>
              </w:numPr>
              <w:rPr>
                <w:rFonts w:ascii="Times New Roman" w:hAnsi="Times New Roman"/>
                <w:sz w:val="22"/>
              </w:rPr>
            </w:pPr>
            <w:r>
              <w:rPr>
                <w:rFonts w:ascii="Times New Roman" w:hAnsi="Times New Roman"/>
                <w:sz w:val="22"/>
              </w:rPr>
              <w:t>Geographic and local concerns</w:t>
            </w:r>
          </w:p>
        </w:tc>
      </w:tr>
      <w:tr w:rsidR="00270CA5" w14:paraId="748BDD41" w14:textId="77777777">
        <w:tc>
          <w:tcPr>
            <w:tcW w:w="2129" w:type="dxa"/>
          </w:tcPr>
          <w:p w14:paraId="6A1E2D25" w14:textId="77777777" w:rsidR="00270CA5" w:rsidRDefault="00270CA5" w:rsidP="00504970">
            <w:pPr>
              <w:rPr>
                <w:rFonts w:ascii="Times New Roman" w:hAnsi="Times New Roman"/>
                <w:sz w:val="22"/>
              </w:rPr>
            </w:pPr>
            <w:r>
              <w:rPr>
                <w:rFonts w:ascii="Times New Roman" w:hAnsi="Times New Roman"/>
                <w:sz w:val="22"/>
              </w:rPr>
              <w:t xml:space="preserve">Industry </w:t>
            </w:r>
          </w:p>
        </w:tc>
        <w:tc>
          <w:tcPr>
            <w:tcW w:w="5341" w:type="dxa"/>
          </w:tcPr>
          <w:p w14:paraId="22B6C8FF" w14:textId="77777777" w:rsidR="00270CA5" w:rsidRDefault="00270CA5" w:rsidP="00270CA5">
            <w:pPr>
              <w:pStyle w:val="ListParagraph"/>
              <w:numPr>
                <w:ilvl w:val="0"/>
                <w:numId w:val="8"/>
              </w:numPr>
              <w:rPr>
                <w:rFonts w:ascii="Times New Roman" w:hAnsi="Times New Roman"/>
                <w:sz w:val="22"/>
              </w:rPr>
            </w:pPr>
            <w:r>
              <w:rPr>
                <w:rFonts w:ascii="Times New Roman" w:hAnsi="Times New Roman"/>
                <w:sz w:val="22"/>
              </w:rPr>
              <w:t>Fee</w:t>
            </w:r>
            <w:r w:rsidR="00AD6CDF">
              <w:rPr>
                <w:rFonts w:ascii="Times New Roman" w:hAnsi="Times New Roman"/>
                <w:sz w:val="22"/>
              </w:rPr>
              <w:t>s</w:t>
            </w:r>
            <w:r>
              <w:rPr>
                <w:rFonts w:ascii="Times New Roman" w:hAnsi="Times New Roman"/>
                <w:sz w:val="22"/>
              </w:rPr>
              <w:t xml:space="preserve"> shock</w:t>
            </w:r>
          </w:p>
          <w:p w14:paraId="5949AF55" w14:textId="77777777" w:rsidR="00152561" w:rsidRDefault="00270CA5" w:rsidP="00270CA5">
            <w:pPr>
              <w:pStyle w:val="ListParagraph"/>
              <w:numPr>
                <w:ilvl w:val="0"/>
                <w:numId w:val="8"/>
              </w:numPr>
              <w:rPr>
                <w:rFonts w:ascii="Times New Roman" w:hAnsi="Times New Roman"/>
                <w:sz w:val="22"/>
              </w:rPr>
            </w:pPr>
            <w:r>
              <w:rPr>
                <w:rFonts w:ascii="Times New Roman" w:hAnsi="Times New Roman"/>
                <w:sz w:val="22"/>
              </w:rPr>
              <w:t xml:space="preserve">Complicated </w:t>
            </w:r>
            <w:r w:rsidR="00152561">
              <w:rPr>
                <w:rFonts w:ascii="Times New Roman" w:hAnsi="Times New Roman"/>
                <w:sz w:val="22"/>
              </w:rPr>
              <w:t xml:space="preserve">market rules </w:t>
            </w:r>
          </w:p>
          <w:p w14:paraId="7AD841C4" w14:textId="77777777" w:rsidR="00152561" w:rsidRDefault="00152561" w:rsidP="00270CA5">
            <w:pPr>
              <w:pStyle w:val="ListParagraph"/>
              <w:numPr>
                <w:ilvl w:val="0"/>
                <w:numId w:val="8"/>
              </w:numPr>
              <w:rPr>
                <w:rFonts w:ascii="Times New Roman" w:hAnsi="Times New Roman"/>
                <w:sz w:val="22"/>
              </w:rPr>
            </w:pPr>
            <w:r>
              <w:rPr>
                <w:rFonts w:ascii="Times New Roman" w:hAnsi="Times New Roman"/>
                <w:sz w:val="22"/>
              </w:rPr>
              <w:t>Eligibi</w:t>
            </w:r>
            <w:r w:rsidR="007217DE">
              <w:rPr>
                <w:rFonts w:ascii="Times New Roman" w:hAnsi="Times New Roman"/>
                <w:sz w:val="22"/>
              </w:rPr>
              <w:t>li</w:t>
            </w:r>
            <w:r>
              <w:rPr>
                <w:rFonts w:ascii="Times New Roman" w:hAnsi="Times New Roman"/>
                <w:sz w:val="22"/>
              </w:rPr>
              <w:t>ty criteria locks out mature aged workers</w:t>
            </w:r>
          </w:p>
          <w:p w14:paraId="55600000" w14:textId="77777777" w:rsidR="00AD6CDF" w:rsidRDefault="00152561" w:rsidP="00152561">
            <w:pPr>
              <w:pStyle w:val="ListParagraph"/>
              <w:numPr>
                <w:ilvl w:val="0"/>
                <w:numId w:val="8"/>
              </w:numPr>
              <w:rPr>
                <w:rFonts w:ascii="Times New Roman" w:hAnsi="Times New Roman"/>
                <w:sz w:val="22"/>
              </w:rPr>
            </w:pPr>
            <w:r>
              <w:rPr>
                <w:rFonts w:ascii="Times New Roman" w:hAnsi="Times New Roman"/>
                <w:sz w:val="22"/>
              </w:rPr>
              <w:t>Skill shortage areas require special consideration</w:t>
            </w:r>
          </w:p>
          <w:p w14:paraId="5EECED52" w14:textId="77777777" w:rsidR="00325BD2" w:rsidRDefault="00AD6CDF" w:rsidP="00152561">
            <w:pPr>
              <w:pStyle w:val="ListParagraph"/>
              <w:numPr>
                <w:ilvl w:val="0"/>
                <w:numId w:val="8"/>
              </w:numPr>
              <w:rPr>
                <w:rFonts w:ascii="Times New Roman" w:hAnsi="Times New Roman"/>
                <w:sz w:val="22"/>
              </w:rPr>
            </w:pPr>
            <w:r>
              <w:rPr>
                <w:rFonts w:ascii="Times New Roman" w:hAnsi="Times New Roman"/>
                <w:sz w:val="22"/>
              </w:rPr>
              <w:t>Apprenticeship and pre-apprenticeship and VET in schools</w:t>
            </w:r>
            <w:r w:rsidR="00152561">
              <w:rPr>
                <w:rFonts w:ascii="Times New Roman" w:hAnsi="Times New Roman"/>
                <w:sz w:val="22"/>
              </w:rPr>
              <w:t xml:space="preserve"> </w:t>
            </w:r>
          </w:p>
          <w:p w14:paraId="42593D27" w14:textId="77777777" w:rsidR="00270CA5" w:rsidRPr="00270CA5" w:rsidRDefault="00325BD2" w:rsidP="00152561">
            <w:pPr>
              <w:pStyle w:val="ListParagraph"/>
              <w:numPr>
                <w:ilvl w:val="0"/>
                <w:numId w:val="8"/>
              </w:numPr>
              <w:rPr>
                <w:rFonts w:ascii="Times New Roman" w:hAnsi="Times New Roman"/>
                <w:sz w:val="22"/>
              </w:rPr>
            </w:pPr>
            <w:r>
              <w:rPr>
                <w:rFonts w:ascii="Times New Roman" w:hAnsi="Times New Roman"/>
                <w:sz w:val="22"/>
              </w:rPr>
              <w:t xml:space="preserve">Job Services Australia fees represented a loophole to VTG fees </w:t>
            </w:r>
          </w:p>
        </w:tc>
      </w:tr>
      <w:tr w:rsidR="00270CA5" w14:paraId="587263DB" w14:textId="77777777">
        <w:tc>
          <w:tcPr>
            <w:tcW w:w="2129" w:type="dxa"/>
          </w:tcPr>
          <w:p w14:paraId="34B3E985" w14:textId="77777777" w:rsidR="00270CA5" w:rsidRDefault="00270CA5" w:rsidP="00504970">
            <w:pPr>
              <w:rPr>
                <w:rFonts w:ascii="Times New Roman" w:hAnsi="Times New Roman"/>
                <w:sz w:val="22"/>
              </w:rPr>
            </w:pPr>
            <w:r>
              <w:rPr>
                <w:rFonts w:ascii="Times New Roman" w:hAnsi="Times New Roman"/>
                <w:sz w:val="22"/>
              </w:rPr>
              <w:t xml:space="preserve">TAFE </w:t>
            </w:r>
          </w:p>
        </w:tc>
        <w:tc>
          <w:tcPr>
            <w:tcW w:w="5341" w:type="dxa"/>
          </w:tcPr>
          <w:p w14:paraId="75126429" w14:textId="77777777" w:rsidR="00152561" w:rsidRDefault="00AD6CDF" w:rsidP="00152561">
            <w:pPr>
              <w:pStyle w:val="ListParagraph"/>
              <w:numPr>
                <w:ilvl w:val="0"/>
                <w:numId w:val="9"/>
              </w:numPr>
              <w:rPr>
                <w:rFonts w:ascii="Times New Roman" w:hAnsi="Times New Roman"/>
                <w:sz w:val="22"/>
              </w:rPr>
            </w:pPr>
            <w:r>
              <w:rPr>
                <w:rFonts w:ascii="Times New Roman" w:hAnsi="Times New Roman"/>
                <w:sz w:val="22"/>
              </w:rPr>
              <w:t>Detrimental</w:t>
            </w:r>
            <w:r w:rsidR="00152561">
              <w:rPr>
                <w:rFonts w:ascii="Times New Roman" w:hAnsi="Times New Roman"/>
                <w:sz w:val="22"/>
              </w:rPr>
              <w:t xml:space="preserve"> affects on enrolments</w:t>
            </w:r>
          </w:p>
          <w:p w14:paraId="5D9978B9" w14:textId="77777777" w:rsidR="00152561" w:rsidRDefault="00152561" w:rsidP="00152561">
            <w:pPr>
              <w:pStyle w:val="ListParagraph"/>
              <w:numPr>
                <w:ilvl w:val="0"/>
                <w:numId w:val="9"/>
              </w:numPr>
              <w:rPr>
                <w:rFonts w:ascii="Times New Roman" w:hAnsi="Times New Roman"/>
                <w:sz w:val="22"/>
              </w:rPr>
            </w:pPr>
            <w:r>
              <w:rPr>
                <w:rFonts w:ascii="Times New Roman" w:hAnsi="Times New Roman"/>
                <w:sz w:val="22"/>
              </w:rPr>
              <w:t xml:space="preserve">Pricing people out of VET </w:t>
            </w:r>
          </w:p>
          <w:p w14:paraId="63B9268C" w14:textId="77777777" w:rsidR="00152561" w:rsidRDefault="00152561" w:rsidP="00152561">
            <w:pPr>
              <w:pStyle w:val="ListParagraph"/>
              <w:numPr>
                <w:ilvl w:val="0"/>
                <w:numId w:val="9"/>
              </w:numPr>
              <w:rPr>
                <w:rFonts w:ascii="Times New Roman" w:hAnsi="Times New Roman"/>
                <w:sz w:val="22"/>
              </w:rPr>
            </w:pPr>
            <w:r>
              <w:rPr>
                <w:rFonts w:ascii="Times New Roman" w:hAnsi="Times New Roman"/>
                <w:sz w:val="22"/>
              </w:rPr>
              <w:t>Out of synch with Higher education reforms</w:t>
            </w:r>
            <w:r w:rsidR="00AD6CDF">
              <w:rPr>
                <w:rFonts w:ascii="Times New Roman" w:hAnsi="Times New Roman"/>
                <w:sz w:val="22"/>
              </w:rPr>
              <w:t xml:space="preserve"> and uncapped</w:t>
            </w:r>
            <w:r>
              <w:rPr>
                <w:rFonts w:ascii="Times New Roman" w:hAnsi="Times New Roman"/>
                <w:sz w:val="22"/>
              </w:rPr>
              <w:t xml:space="preserve"> places</w:t>
            </w:r>
          </w:p>
          <w:p w14:paraId="5108C4CA" w14:textId="77777777" w:rsidR="00270CA5" w:rsidRPr="00152561" w:rsidRDefault="00152561" w:rsidP="00152561">
            <w:pPr>
              <w:pStyle w:val="ListParagraph"/>
              <w:numPr>
                <w:ilvl w:val="0"/>
                <w:numId w:val="9"/>
              </w:numPr>
              <w:rPr>
                <w:rFonts w:ascii="Times New Roman" w:hAnsi="Times New Roman"/>
                <w:sz w:val="22"/>
              </w:rPr>
            </w:pPr>
            <w:r>
              <w:rPr>
                <w:rFonts w:ascii="Times New Roman" w:hAnsi="Times New Roman"/>
                <w:sz w:val="22"/>
              </w:rPr>
              <w:t>High compliance costs</w:t>
            </w:r>
          </w:p>
        </w:tc>
      </w:tr>
      <w:tr w:rsidR="00270CA5" w14:paraId="06BCE202" w14:textId="77777777">
        <w:tc>
          <w:tcPr>
            <w:tcW w:w="2129" w:type="dxa"/>
          </w:tcPr>
          <w:p w14:paraId="376DA6AB" w14:textId="77777777" w:rsidR="00270CA5" w:rsidRDefault="00270CA5" w:rsidP="00504970">
            <w:pPr>
              <w:rPr>
                <w:rFonts w:ascii="Times New Roman" w:hAnsi="Times New Roman"/>
                <w:sz w:val="22"/>
              </w:rPr>
            </w:pPr>
            <w:r>
              <w:rPr>
                <w:rFonts w:ascii="Times New Roman" w:hAnsi="Times New Roman"/>
                <w:sz w:val="22"/>
              </w:rPr>
              <w:t xml:space="preserve">Individual </w:t>
            </w:r>
          </w:p>
        </w:tc>
        <w:tc>
          <w:tcPr>
            <w:tcW w:w="5341" w:type="dxa"/>
          </w:tcPr>
          <w:p w14:paraId="049FCD5C" w14:textId="77777777" w:rsidR="00270CA5" w:rsidRDefault="00270CA5" w:rsidP="00270CA5">
            <w:pPr>
              <w:pStyle w:val="ListParagraph"/>
              <w:numPr>
                <w:ilvl w:val="0"/>
                <w:numId w:val="7"/>
              </w:numPr>
              <w:rPr>
                <w:rFonts w:ascii="Times New Roman" w:hAnsi="Times New Roman"/>
                <w:sz w:val="22"/>
              </w:rPr>
            </w:pPr>
            <w:r>
              <w:rPr>
                <w:rFonts w:ascii="Times New Roman" w:hAnsi="Times New Roman"/>
                <w:sz w:val="22"/>
              </w:rPr>
              <w:t>Student concerns</w:t>
            </w:r>
          </w:p>
          <w:p w14:paraId="0195F0BB" w14:textId="77777777" w:rsidR="00152561" w:rsidRDefault="00270CA5" w:rsidP="00270CA5">
            <w:pPr>
              <w:pStyle w:val="ListParagraph"/>
              <w:numPr>
                <w:ilvl w:val="0"/>
                <w:numId w:val="7"/>
              </w:numPr>
              <w:rPr>
                <w:rFonts w:ascii="Times New Roman" w:hAnsi="Times New Roman"/>
                <w:sz w:val="22"/>
              </w:rPr>
            </w:pPr>
            <w:r>
              <w:rPr>
                <w:rFonts w:ascii="Times New Roman" w:hAnsi="Times New Roman"/>
                <w:sz w:val="22"/>
              </w:rPr>
              <w:t>Teacher frustrations</w:t>
            </w:r>
          </w:p>
          <w:p w14:paraId="7040F326" w14:textId="77777777" w:rsidR="00270CA5" w:rsidRPr="00270CA5" w:rsidRDefault="00152561" w:rsidP="00152561">
            <w:pPr>
              <w:pStyle w:val="ListParagraph"/>
              <w:numPr>
                <w:ilvl w:val="0"/>
                <w:numId w:val="7"/>
              </w:numPr>
              <w:rPr>
                <w:rFonts w:ascii="Times New Roman" w:hAnsi="Times New Roman"/>
                <w:sz w:val="22"/>
              </w:rPr>
            </w:pPr>
            <w:r>
              <w:rPr>
                <w:rFonts w:ascii="Times New Roman" w:hAnsi="Times New Roman"/>
                <w:sz w:val="22"/>
              </w:rPr>
              <w:t xml:space="preserve">Policy inconsistencies </w:t>
            </w:r>
          </w:p>
        </w:tc>
      </w:tr>
      <w:tr w:rsidR="00270CA5" w14:paraId="4CA74667" w14:textId="77777777">
        <w:tc>
          <w:tcPr>
            <w:tcW w:w="2129" w:type="dxa"/>
          </w:tcPr>
          <w:p w14:paraId="173726A5" w14:textId="77777777" w:rsidR="00270CA5" w:rsidRDefault="00270CA5" w:rsidP="00504970">
            <w:pPr>
              <w:rPr>
                <w:rFonts w:ascii="Times New Roman" w:hAnsi="Times New Roman"/>
                <w:sz w:val="22"/>
              </w:rPr>
            </w:pPr>
            <w:r>
              <w:rPr>
                <w:rFonts w:ascii="Times New Roman" w:hAnsi="Times New Roman"/>
                <w:sz w:val="22"/>
              </w:rPr>
              <w:t>Private RTO</w:t>
            </w:r>
          </w:p>
        </w:tc>
        <w:tc>
          <w:tcPr>
            <w:tcW w:w="5341" w:type="dxa"/>
          </w:tcPr>
          <w:p w14:paraId="39D23918" w14:textId="77777777" w:rsidR="00270CA5" w:rsidRDefault="00270CA5" w:rsidP="00270CA5">
            <w:pPr>
              <w:pStyle w:val="ListParagraph"/>
              <w:numPr>
                <w:ilvl w:val="0"/>
                <w:numId w:val="3"/>
              </w:numPr>
              <w:rPr>
                <w:rFonts w:ascii="Times New Roman" w:hAnsi="Times New Roman"/>
                <w:sz w:val="22"/>
              </w:rPr>
            </w:pPr>
            <w:r>
              <w:rPr>
                <w:rFonts w:ascii="Times New Roman" w:hAnsi="Times New Roman"/>
                <w:sz w:val="22"/>
              </w:rPr>
              <w:t xml:space="preserve">Eligibility criteria </w:t>
            </w:r>
          </w:p>
          <w:p w14:paraId="50E52D8D" w14:textId="77777777" w:rsidR="00152561" w:rsidRDefault="00270CA5" w:rsidP="00270CA5">
            <w:pPr>
              <w:pStyle w:val="ListParagraph"/>
              <w:numPr>
                <w:ilvl w:val="0"/>
                <w:numId w:val="3"/>
              </w:numPr>
              <w:rPr>
                <w:rFonts w:ascii="Times New Roman" w:hAnsi="Times New Roman"/>
                <w:sz w:val="22"/>
              </w:rPr>
            </w:pPr>
            <w:r>
              <w:rPr>
                <w:rFonts w:ascii="Times New Roman" w:hAnsi="Times New Roman"/>
                <w:sz w:val="22"/>
              </w:rPr>
              <w:t>Pricing of courses undercutting participation</w:t>
            </w:r>
          </w:p>
          <w:p w14:paraId="03116047" w14:textId="77777777" w:rsidR="00270CA5" w:rsidRPr="00270CA5" w:rsidRDefault="00152561" w:rsidP="00270CA5">
            <w:pPr>
              <w:pStyle w:val="ListParagraph"/>
              <w:numPr>
                <w:ilvl w:val="0"/>
                <w:numId w:val="3"/>
              </w:numPr>
              <w:rPr>
                <w:rFonts w:ascii="Times New Roman" w:hAnsi="Times New Roman"/>
                <w:sz w:val="22"/>
              </w:rPr>
            </w:pPr>
            <w:r>
              <w:rPr>
                <w:rFonts w:ascii="Times New Roman" w:hAnsi="Times New Roman"/>
                <w:sz w:val="22"/>
              </w:rPr>
              <w:t xml:space="preserve">Structural </w:t>
            </w:r>
            <w:r w:rsidR="00AD6CDF">
              <w:rPr>
                <w:rFonts w:ascii="Times New Roman" w:hAnsi="Times New Roman"/>
                <w:sz w:val="22"/>
              </w:rPr>
              <w:t xml:space="preserve">separation </w:t>
            </w:r>
          </w:p>
        </w:tc>
      </w:tr>
      <w:tr w:rsidR="00270CA5" w14:paraId="78901DFF" w14:textId="77777777">
        <w:tc>
          <w:tcPr>
            <w:tcW w:w="2129" w:type="dxa"/>
          </w:tcPr>
          <w:p w14:paraId="4844C99E" w14:textId="77777777" w:rsidR="00270CA5" w:rsidRDefault="00270CA5" w:rsidP="00504970">
            <w:pPr>
              <w:rPr>
                <w:rFonts w:ascii="Times New Roman" w:hAnsi="Times New Roman"/>
                <w:sz w:val="22"/>
              </w:rPr>
            </w:pPr>
            <w:r>
              <w:rPr>
                <w:rFonts w:ascii="Times New Roman" w:hAnsi="Times New Roman"/>
                <w:sz w:val="22"/>
              </w:rPr>
              <w:t xml:space="preserve">Secondary School </w:t>
            </w:r>
          </w:p>
        </w:tc>
        <w:tc>
          <w:tcPr>
            <w:tcW w:w="5341" w:type="dxa"/>
          </w:tcPr>
          <w:p w14:paraId="11F787F8" w14:textId="77777777" w:rsidR="00270CA5" w:rsidRDefault="00270CA5" w:rsidP="00270CA5">
            <w:pPr>
              <w:pStyle w:val="ListParagraph"/>
              <w:numPr>
                <w:ilvl w:val="0"/>
                <w:numId w:val="4"/>
              </w:numPr>
              <w:rPr>
                <w:rFonts w:ascii="Times New Roman" w:hAnsi="Times New Roman"/>
                <w:sz w:val="22"/>
              </w:rPr>
            </w:pPr>
            <w:r>
              <w:rPr>
                <w:rFonts w:ascii="Times New Roman" w:hAnsi="Times New Roman"/>
                <w:sz w:val="22"/>
              </w:rPr>
              <w:t>Ensure sustainability of VET in schools</w:t>
            </w:r>
          </w:p>
          <w:p w14:paraId="6027F934" w14:textId="77777777" w:rsidR="00270CA5" w:rsidRPr="00270CA5" w:rsidRDefault="00270CA5" w:rsidP="00270CA5">
            <w:pPr>
              <w:pStyle w:val="ListParagraph"/>
              <w:numPr>
                <w:ilvl w:val="0"/>
                <w:numId w:val="4"/>
              </w:numPr>
              <w:rPr>
                <w:rFonts w:ascii="Times New Roman" w:hAnsi="Times New Roman"/>
                <w:sz w:val="22"/>
              </w:rPr>
            </w:pPr>
            <w:r>
              <w:rPr>
                <w:rFonts w:ascii="Times New Roman" w:hAnsi="Times New Roman"/>
                <w:sz w:val="22"/>
              </w:rPr>
              <w:t>Affordability of VET in schools</w:t>
            </w:r>
          </w:p>
        </w:tc>
      </w:tr>
      <w:tr w:rsidR="00270CA5" w14:paraId="7A398FAD" w14:textId="77777777">
        <w:tc>
          <w:tcPr>
            <w:tcW w:w="2129" w:type="dxa"/>
          </w:tcPr>
          <w:p w14:paraId="4BDBC53C" w14:textId="77777777" w:rsidR="00270CA5" w:rsidRDefault="00270CA5" w:rsidP="00504970">
            <w:pPr>
              <w:rPr>
                <w:rFonts w:ascii="Times New Roman" w:hAnsi="Times New Roman"/>
                <w:sz w:val="22"/>
              </w:rPr>
            </w:pPr>
            <w:r>
              <w:rPr>
                <w:rFonts w:ascii="Times New Roman" w:hAnsi="Times New Roman"/>
                <w:sz w:val="22"/>
              </w:rPr>
              <w:t xml:space="preserve">Local government </w:t>
            </w:r>
          </w:p>
        </w:tc>
        <w:tc>
          <w:tcPr>
            <w:tcW w:w="5341" w:type="dxa"/>
          </w:tcPr>
          <w:p w14:paraId="492A638A" w14:textId="77777777" w:rsidR="00270CA5" w:rsidRPr="00270CA5" w:rsidRDefault="00270CA5" w:rsidP="00270CA5">
            <w:pPr>
              <w:pStyle w:val="ListParagraph"/>
              <w:numPr>
                <w:ilvl w:val="0"/>
                <w:numId w:val="6"/>
              </w:numPr>
              <w:rPr>
                <w:rFonts w:ascii="Times New Roman" w:hAnsi="Times New Roman"/>
                <w:sz w:val="22"/>
              </w:rPr>
            </w:pPr>
            <w:r>
              <w:rPr>
                <w:rFonts w:ascii="Times New Roman" w:hAnsi="Times New Roman"/>
                <w:sz w:val="22"/>
              </w:rPr>
              <w:t xml:space="preserve">Importance of VET for regional participation and development </w:t>
            </w:r>
          </w:p>
        </w:tc>
      </w:tr>
      <w:tr w:rsidR="00270CA5" w14:paraId="5736FB8D" w14:textId="77777777">
        <w:tc>
          <w:tcPr>
            <w:tcW w:w="2129" w:type="dxa"/>
          </w:tcPr>
          <w:p w14:paraId="0D49EB4B" w14:textId="77777777" w:rsidR="00270CA5" w:rsidRDefault="00270CA5" w:rsidP="00504970">
            <w:pPr>
              <w:rPr>
                <w:rFonts w:ascii="Times New Roman" w:hAnsi="Times New Roman"/>
                <w:sz w:val="22"/>
              </w:rPr>
            </w:pPr>
            <w:r>
              <w:rPr>
                <w:rFonts w:ascii="Times New Roman" w:hAnsi="Times New Roman"/>
                <w:sz w:val="22"/>
              </w:rPr>
              <w:t xml:space="preserve">Research </w:t>
            </w:r>
          </w:p>
        </w:tc>
        <w:tc>
          <w:tcPr>
            <w:tcW w:w="5341" w:type="dxa"/>
          </w:tcPr>
          <w:p w14:paraId="67D45112" w14:textId="77777777" w:rsidR="00270CA5" w:rsidRPr="00270CA5" w:rsidRDefault="00152561" w:rsidP="00270CA5">
            <w:pPr>
              <w:pStyle w:val="ListParagraph"/>
              <w:numPr>
                <w:ilvl w:val="0"/>
                <w:numId w:val="5"/>
              </w:numPr>
              <w:rPr>
                <w:rFonts w:ascii="Times New Roman" w:hAnsi="Times New Roman"/>
                <w:sz w:val="22"/>
              </w:rPr>
            </w:pPr>
            <w:r>
              <w:rPr>
                <w:rFonts w:ascii="Times New Roman" w:hAnsi="Times New Roman"/>
                <w:sz w:val="22"/>
              </w:rPr>
              <w:t>Evidence based pol</w:t>
            </w:r>
            <w:r w:rsidR="00270CA5">
              <w:rPr>
                <w:rFonts w:ascii="Times New Roman" w:hAnsi="Times New Roman"/>
                <w:sz w:val="22"/>
              </w:rPr>
              <w:t xml:space="preserve">icy </w:t>
            </w:r>
          </w:p>
        </w:tc>
      </w:tr>
    </w:tbl>
    <w:p w14:paraId="735D2C28" w14:textId="77777777" w:rsidR="00F12C6B" w:rsidRDefault="00F12C6B" w:rsidP="00C65BC9">
      <w:pPr>
        <w:rPr>
          <w:rFonts w:ascii="Times New Roman" w:hAnsi="Times New Roman"/>
          <w:sz w:val="22"/>
        </w:rPr>
      </w:pPr>
    </w:p>
    <w:p w14:paraId="5873F5DD" w14:textId="77777777" w:rsidR="00AD4D09" w:rsidRDefault="00F12C6B" w:rsidP="00C65BC9">
      <w:pPr>
        <w:rPr>
          <w:rFonts w:asciiTheme="majorHAnsi" w:hAnsiTheme="majorHAnsi" w:cs="Arial"/>
          <w:szCs w:val="26"/>
        </w:rPr>
      </w:pPr>
      <w:r w:rsidRPr="00F12C6B">
        <w:rPr>
          <w:rFonts w:asciiTheme="majorHAnsi" w:hAnsiTheme="majorHAnsi" w:cs="Arial"/>
          <w:szCs w:val="26"/>
        </w:rPr>
        <w:lastRenderedPageBreak/>
        <w:t xml:space="preserve">The rest of the paper will outline the key themes </w:t>
      </w:r>
      <w:r>
        <w:rPr>
          <w:rFonts w:asciiTheme="majorHAnsi" w:hAnsiTheme="majorHAnsi" w:cs="Arial"/>
          <w:szCs w:val="26"/>
        </w:rPr>
        <w:t>as raised by each of the submission types as presented in the table above.  The themes selected are concerned with the</w:t>
      </w:r>
      <w:r w:rsidR="002267E5">
        <w:rPr>
          <w:rFonts w:asciiTheme="majorHAnsi" w:hAnsiTheme="majorHAnsi" w:cs="Arial"/>
          <w:szCs w:val="26"/>
        </w:rPr>
        <w:t xml:space="preserve"> specific</w:t>
      </w:r>
      <w:r w:rsidR="00AD6CDF">
        <w:rPr>
          <w:rFonts w:asciiTheme="majorHAnsi" w:hAnsiTheme="majorHAnsi" w:cs="Arial"/>
          <w:szCs w:val="26"/>
        </w:rPr>
        <w:t xml:space="preserve"> impacts </w:t>
      </w:r>
      <w:r w:rsidR="00146835">
        <w:rPr>
          <w:rFonts w:asciiTheme="majorHAnsi" w:hAnsiTheme="majorHAnsi" w:cs="Arial"/>
          <w:szCs w:val="26"/>
        </w:rPr>
        <w:t>they relate</w:t>
      </w:r>
      <w:r>
        <w:rPr>
          <w:rFonts w:asciiTheme="majorHAnsi" w:hAnsiTheme="majorHAnsi" w:cs="Arial"/>
          <w:szCs w:val="26"/>
        </w:rPr>
        <w:t xml:space="preserve"> </w:t>
      </w:r>
      <w:r w:rsidR="00146835">
        <w:rPr>
          <w:rFonts w:asciiTheme="majorHAnsi" w:hAnsiTheme="majorHAnsi" w:cs="Arial"/>
          <w:szCs w:val="26"/>
        </w:rPr>
        <w:t xml:space="preserve">to </w:t>
      </w:r>
      <w:r>
        <w:rPr>
          <w:rFonts w:asciiTheme="majorHAnsi" w:hAnsiTheme="majorHAnsi" w:cs="Arial"/>
          <w:szCs w:val="26"/>
        </w:rPr>
        <w:t>the differen</w:t>
      </w:r>
      <w:r w:rsidR="00A44D91">
        <w:rPr>
          <w:rFonts w:asciiTheme="majorHAnsi" w:hAnsiTheme="majorHAnsi" w:cs="Arial"/>
          <w:szCs w:val="26"/>
        </w:rPr>
        <w:t>t</w:t>
      </w:r>
      <w:r w:rsidR="00AD6CDF">
        <w:rPr>
          <w:rFonts w:asciiTheme="majorHAnsi" w:hAnsiTheme="majorHAnsi" w:cs="Arial"/>
          <w:szCs w:val="26"/>
        </w:rPr>
        <w:t xml:space="preserve"> stakeholder</w:t>
      </w:r>
      <w:r w:rsidR="002C0E6B">
        <w:rPr>
          <w:rFonts w:asciiTheme="majorHAnsi" w:hAnsiTheme="majorHAnsi" w:cs="Arial"/>
          <w:szCs w:val="26"/>
        </w:rPr>
        <w:t xml:space="preserve"> group</w:t>
      </w:r>
      <w:r w:rsidR="00AD6CDF">
        <w:rPr>
          <w:rFonts w:asciiTheme="majorHAnsi" w:hAnsiTheme="majorHAnsi" w:cs="Arial"/>
          <w:szCs w:val="26"/>
        </w:rPr>
        <w:t xml:space="preserve">s. </w:t>
      </w:r>
    </w:p>
    <w:p w14:paraId="73ABF886" w14:textId="77777777" w:rsidR="00AD4D09" w:rsidRPr="00AD4D09" w:rsidRDefault="002267E5" w:rsidP="00C65BC9">
      <w:pPr>
        <w:rPr>
          <w:rFonts w:asciiTheme="majorHAnsi" w:hAnsiTheme="majorHAnsi" w:cs="Arial"/>
          <w:sz w:val="28"/>
          <w:szCs w:val="26"/>
        </w:rPr>
      </w:pPr>
      <w:r>
        <w:rPr>
          <w:rFonts w:asciiTheme="majorHAnsi" w:hAnsiTheme="majorHAnsi" w:cs="Arial"/>
          <w:sz w:val="28"/>
          <w:szCs w:val="26"/>
        </w:rPr>
        <w:t>D</w:t>
      </w:r>
      <w:r w:rsidR="00AD4D09" w:rsidRPr="00AD4D09">
        <w:rPr>
          <w:rFonts w:asciiTheme="majorHAnsi" w:hAnsiTheme="majorHAnsi" w:cs="Arial"/>
          <w:sz w:val="28"/>
          <w:szCs w:val="26"/>
        </w:rPr>
        <w:t xml:space="preserve">iscussion </w:t>
      </w:r>
    </w:p>
    <w:p w14:paraId="276A1355" w14:textId="77777777" w:rsidR="007A37BF" w:rsidRPr="009578E0" w:rsidRDefault="007F36CE" w:rsidP="00146835">
      <w:pPr>
        <w:jc w:val="both"/>
        <w:rPr>
          <w:rFonts w:asciiTheme="majorHAnsi" w:hAnsiTheme="majorHAnsi" w:cs="Arial"/>
          <w:szCs w:val="26"/>
        </w:rPr>
      </w:pPr>
      <w:r w:rsidRPr="009578E0">
        <w:rPr>
          <w:rFonts w:asciiTheme="majorHAnsi" w:hAnsiTheme="majorHAnsi" w:cs="Arial"/>
          <w:szCs w:val="26"/>
        </w:rPr>
        <w:t xml:space="preserve">What is </w:t>
      </w:r>
      <w:r w:rsidR="002C0E6B">
        <w:rPr>
          <w:rFonts w:asciiTheme="majorHAnsi" w:hAnsiTheme="majorHAnsi" w:cs="Arial"/>
          <w:szCs w:val="26"/>
        </w:rPr>
        <w:t xml:space="preserve">clear </w:t>
      </w:r>
      <w:r w:rsidRPr="009578E0">
        <w:rPr>
          <w:rFonts w:asciiTheme="majorHAnsi" w:hAnsiTheme="majorHAnsi" w:cs="Arial"/>
          <w:szCs w:val="26"/>
        </w:rPr>
        <w:t xml:space="preserve">from the outset </w:t>
      </w:r>
      <w:r w:rsidR="002C0E6B">
        <w:rPr>
          <w:rFonts w:asciiTheme="majorHAnsi" w:hAnsiTheme="majorHAnsi" w:cs="Arial"/>
          <w:szCs w:val="26"/>
        </w:rPr>
        <w:t xml:space="preserve">is that </w:t>
      </w:r>
      <w:r w:rsidRPr="009578E0">
        <w:rPr>
          <w:rFonts w:asciiTheme="majorHAnsi" w:hAnsiTheme="majorHAnsi" w:cs="Arial"/>
          <w:szCs w:val="26"/>
        </w:rPr>
        <w:t>the submission</w:t>
      </w:r>
      <w:r w:rsidR="00CD63E6" w:rsidRPr="009578E0">
        <w:rPr>
          <w:rFonts w:asciiTheme="majorHAnsi" w:hAnsiTheme="majorHAnsi" w:cs="Arial"/>
          <w:szCs w:val="26"/>
        </w:rPr>
        <w:t>s</w:t>
      </w:r>
      <w:r w:rsidRPr="009578E0">
        <w:rPr>
          <w:rFonts w:asciiTheme="majorHAnsi" w:hAnsiTheme="majorHAnsi" w:cs="Arial"/>
          <w:szCs w:val="26"/>
        </w:rPr>
        <w:t xml:space="preserve"> </w:t>
      </w:r>
      <w:r w:rsidR="002C0E6B">
        <w:rPr>
          <w:rFonts w:asciiTheme="majorHAnsi" w:hAnsiTheme="majorHAnsi" w:cs="Arial"/>
          <w:szCs w:val="26"/>
        </w:rPr>
        <w:t xml:space="preserve">represent a </w:t>
      </w:r>
      <w:r w:rsidRPr="009578E0">
        <w:rPr>
          <w:rFonts w:asciiTheme="majorHAnsi" w:hAnsiTheme="majorHAnsi" w:cs="Arial"/>
          <w:szCs w:val="26"/>
        </w:rPr>
        <w:t xml:space="preserve">spread of stakeholders who were </w:t>
      </w:r>
      <w:r w:rsidR="00CD63E6" w:rsidRPr="009578E0">
        <w:rPr>
          <w:rFonts w:asciiTheme="majorHAnsi" w:hAnsiTheme="majorHAnsi" w:cs="Arial"/>
          <w:szCs w:val="26"/>
        </w:rPr>
        <w:t>motivated to</w:t>
      </w:r>
      <w:r w:rsidRPr="009578E0">
        <w:rPr>
          <w:rFonts w:asciiTheme="majorHAnsi" w:hAnsiTheme="majorHAnsi" w:cs="Arial"/>
          <w:szCs w:val="26"/>
        </w:rPr>
        <w:t xml:space="preserve"> make a written submission. </w:t>
      </w:r>
      <w:r w:rsidR="00CD63E6" w:rsidRPr="009578E0">
        <w:rPr>
          <w:rFonts w:asciiTheme="majorHAnsi" w:hAnsiTheme="majorHAnsi" w:cs="Arial"/>
          <w:szCs w:val="26"/>
        </w:rPr>
        <w:t>Interestingly the</w:t>
      </w:r>
      <w:r w:rsidR="00936BC4" w:rsidRPr="009578E0">
        <w:rPr>
          <w:rFonts w:asciiTheme="majorHAnsi" w:hAnsiTheme="majorHAnsi" w:cs="Arial"/>
          <w:szCs w:val="26"/>
        </w:rPr>
        <w:t xml:space="preserve"> largest number of submissions </w:t>
      </w:r>
      <w:r w:rsidR="00146835">
        <w:rPr>
          <w:rFonts w:asciiTheme="majorHAnsi" w:hAnsiTheme="majorHAnsi" w:cs="Arial"/>
          <w:szCs w:val="26"/>
        </w:rPr>
        <w:t xml:space="preserve">from provider groups </w:t>
      </w:r>
      <w:r w:rsidR="00936BC4" w:rsidRPr="009578E0">
        <w:rPr>
          <w:rFonts w:asciiTheme="majorHAnsi" w:hAnsiTheme="majorHAnsi" w:cs="Arial"/>
          <w:szCs w:val="26"/>
        </w:rPr>
        <w:t xml:space="preserve">came from the </w:t>
      </w:r>
      <w:r w:rsidR="007F62FD" w:rsidRPr="009578E0">
        <w:rPr>
          <w:rFonts w:asciiTheme="majorHAnsi" w:hAnsiTheme="majorHAnsi" w:cs="Arial"/>
          <w:szCs w:val="26"/>
        </w:rPr>
        <w:t>A</w:t>
      </w:r>
      <w:r w:rsidR="00936BC4" w:rsidRPr="009578E0">
        <w:rPr>
          <w:rFonts w:asciiTheme="majorHAnsi" w:hAnsiTheme="majorHAnsi" w:cs="Arial"/>
          <w:szCs w:val="26"/>
        </w:rPr>
        <w:t xml:space="preserve">dult and Community </w:t>
      </w:r>
      <w:r w:rsidR="007F62FD" w:rsidRPr="009578E0">
        <w:rPr>
          <w:rFonts w:asciiTheme="majorHAnsi" w:hAnsiTheme="majorHAnsi" w:cs="Arial"/>
          <w:szCs w:val="26"/>
        </w:rPr>
        <w:t>E</w:t>
      </w:r>
      <w:r w:rsidR="00936BC4" w:rsidRPr="009578E0">
        <w:rPr>
          <w:rFonts w:asciiTheme="majorHAnsi" w:hAnsiTheme="majorHAnsi" w:cs="Arial"/>
          <w:szCs w:val="26"/>
        </w:rPr>
        <w:t xml:space="preserve">ducation sector with nineteen submissions followed by TAFE and private RTO’s with </w:t>
      </w:r>
      <w:r w:rsidR="00146835">
        <w:rPr>
          <w:rFonts w:asciiTheme="majorHAnsi" w:hAnsiTheme="majorHAnsi" w:cs="Arial"/>
          <w:szCs w:val="26"/>
        </w:rPr>
        <w:t xml:space="preserve">a combined number of </w:t>
      </w:r>
      <w:r w:rsidR="00936BC4" w:rsidRPr="009578E0">
        <w:rPr>
          <w:rFonts w:asciiTheme="majorHAnsi" w:hAnsiTheme="majorHAnsi" w:cs="Arial"/>
          <w:szCs w:val="26"/>
        </w:rPr>
        <w:t xml:space="preserve">sixteen. Together with the submission from the secondary school </w:t>
      </w:r>
      <w:r w:rsidR="00CD63E6" w:rsidRPr="009578E0">
        <w:rPr>
          <w:rFonts w:asciiTheme="majorHAnsi" w:hAnsiTheme="majorHAnsi" w:cs="Arial"/>
          <w:szCs w:val="26"/>
        </w:rPr>
        <w:t>thirty-six</w:t>
      </w:r>
      <w:r w:rsidR="00936BC4" w:rsidRPr="009578E0">
        <w:rPr>
          <w:rFonts w:asciiTheme="majorHAnsi" w:hAnsiTheme="majorHAnsi" w:cs="Arial"/>
          <w:szCs w:val="26"/>
        </w:rPr>
        <w:t xml:space="preserve"> providers and several individual submissions from students and teachers alike </w:t>
      </w:r>
      <w:r w:rsidR="002C0E6B">
        <w:rPr>
          <w:rFonts w:asciiTheme="majorHAnsi" w:hAnsiTheme="majorHAnsi" w:cs="Arial"/>
          <w:szCs w:val="26"/>
        </w:rPr>
        <w:t xml:space="preserve">all sough to </w:t>
      </w:r>
      <w:r w:rsidR="00A44D91">
        <w:rPr>
          <w:rFonts w:asciiTheme="majorHAnsi" w:hAnsiTheme="majorHAnsi" w:cs="Arial"/>
          <w:szCs w:val="26"/>
        </w:rPr>
        <w:t xml:space="preserve">make the </w:t>
      </w:r>
      <w:r w:rsidR="00CD63E6" w:rsidRPr="009578E0">
        <w:rPr>
          <w:rFonts w:asciiTheme="majorHAnsi" w:hAnsiTheme="majorHAnsi" w:cs="Arial"/>
          <w:szCs w:val="26"/>
        </w:rPr>
        <w:t>case for a more inclusive and fairer contestable training market</w:t>
      </w:r>
      <w:r w:rsidR="00A44D91">
        <w:rPr>
          <w:rFonts w:asciiTheme="majorHAnsi" w:hAnsiTheme="majorHAnsi" w:cs="Arial"/>
          <w:szCs w:val="26"/>
        </w:rPr>
        <w:t xml:space="preserve">. </w:t>
      </w:r>
    </w:p>
    <w:p w14:paraId="2B747806" w14:textId="77777777" w:rsidR="00C65BC9" w:rsidRDefault="00C65BC9" w:rsidP="00C65BC9">
      <w:pPr>
        <w:rPr>
          <w:rFonts w:asciiTheme="majorHAnsi" w:hAnsiTheme="majorHAnsi" w:cs="Arial"/>
          <w:szCs w:val="26"/>
        </w:rPr>
      </w:pPr>
    </w:p>
    <w:p w14:paraId="2E2D5759" w14:textId="77777777" w:rsidR="00A5100E" w:rsidRDefault="007A37BF" w:rsidP="00146835">
      <w:pPr>
        <w:jc w:val="both"/>
        <w:rPr>
          <w:rFonts w:asciiTheme="majorHAnsi" w:hAnsiTheme="majorHAnsi" w:cs="Arial"/>
          <w:szCs w:val="26"/>
        </w:rPr>
      </w:pPr>
      <w:r w:rsidRPr="009578E0">
        <w:rPr>
          <w:rFonts w:asciiTheme="majorHAnsi" w:hAnsiTheme="majorHAnsi" w:cs="Arial"/>
          <w:szCs w:val="26"/>
        </w:rPr>
        <w:t>The Adult and Community Ed</w:t>
      </w:r>
      <w:r w:rsidR="00AD4D09">
        <w:rPr>
          <w:rFonts w:asciiTheme="majorHAnsi" w:hAnsiTheme="majorHAnsi" w:cs="Arial"/>
          <w:szCs w:val="26"/>
        </w:rPr>
        <w:t xml:space="preserve">ucation sector has a 13% share </w:t>
      </w:r>
      <w:r w:rsidRPr="009578E0">
        <w:rPr>
          <w:rFonts w:asciiTheme="majorHAnsi" w:hAnsiTheme="majorHAnsi" w:cs="Arial"/>
          <w:szCs w:val="26"/>
        </w:rPr>
        <w:t xml:space="preserve">of government funded VET activity, with TAFE having 61% and private </w:t>
      </w:r>
      <w:r w:rsidR="00146835" w:rsidRPr="009578E0">
        <w:rPr>
          <w:rFonts w:asciiTheme="majorHAnsi" w:hAnsiTheme="majorHAnsi" w:cs="Arial"/>
          <w:szCs w:val="26"/>
        </w:rPr>
        <w:t>sector having</w:t>
      </w:r>
      <w:r w:rsidRPr="009578E0">
        <w:rPr>
          <w:rFonts w:asciiTheme="majorHAnsi" w:hAnsiTheme="majorHAnsi" w:cs="Arial"/>
          <w:szCs w:val="26"/>
        </w:rPr>
        <w:t xml:space="preserve"> 2</w:t>
      </w:r>
      <w:r w:rsidR="003B2267">
        <w:rPr>
          <w:rFonts w:asciiTheme="majorHAnsi" w:hAnsiTheme="majorHAnsi" w:cs="Arial"/>
          <w:szCs w:val="26"/>
        </w:rPr>
        <w:t xml:space="preserve">6% </w:t>
      </w:r>
      <w:r w:rsidR="00146835">
        <w:rPr>
          <w:rFonts w:asciiTheme="majorHAnsi" w:hAnsiTheme="majorHAnsi" w:cs="Arial"/>
          <w:szCs w:val="26"/>
        </w:rPr>
        <w:t>(Allen</w:t>
      </w:r>
      <w:r w:rsidR="003B2267">
        <w:rPr>
          <w:rFonts w:asciiTheme="majorHAnsi" w:hAnsiTheme="majorHAnsi" w:cs="Arial"/>
          <w:szCs w:val="26"/>
        </w:rPr>
        <w:t>, 2011). Of the ninete</w:t>
      </w:r>
      <w:r w:rsidRPr="009578E0">
        <w:rPr>
          <w:rFonts w:asciiTheme="majorHAnsi" w:hAnsiTheme="majorHAnsi" w:cs="Arial"/>
          <w:szCs w:val="26"/>
        </w:rPr>
        <w:t xml:space="preserve">en </w:t>
      </w:r>
      <w:r w:rsidR="00146835" w:rsidRPr="009578E0">
        <w:rPr>
          <w:rFonts w:asciiTheme="majorHAnsi" w:hAnsiTheme="majorHAnsi" w:cs="Arial"/>
          <w:szCs w:val="26"/>
        </w:rPr>
        <w:t>submissions</w:t>
      </w:r>
      <w:r w:rsidRPr="009578E0">
        <w:rPr>
          <w:rFonts w:asciiTheme="majorHAnsi" w:hAnsiTheme="majorHAnsi" w:cs="Arial"/>
          <w:szCs w:val="26"/>
        </w:rPr>
        <w:t xml:space="preserve"> made to the revie</w:t>
      </w:r>
      <w:r w:rsidR="003B2267">
        <w:rPr>
          <w:rFonts w:asciiTheme="majorHAnsi" w:hAnsiTheme="majorHAnsi" w:cs="Arial"/>
          <w:szCs w:val="26"/>
        </w:rPr>
        <w:t>w from the ACE sector the eligib</w:t>
      </w:r>
      <w:r w:rsidRPr="009578E0">
        <w:rPr>
          <w:rFonts w:asciiTheme="majorHAnsi" w:hAnsiTheme="majorHAnsi" w:cs="Arial"/>
          <w:szCs w:val="26"/>
        </w:rPr>
        <w:t>i</w:t>
      </w:r>
      <w:r w:rsidR="00146835">
        <w:rPr>
          <w:rFonts w:asciiTheme="majorHAnsi" w:hAnsiTheme="majorHAnsi" w:cs="Arial"/>
          <w:szCs w:val="26"/>
        </w:rPr>
        <w:t>lity</w:t>
      </w:r>
      <w:r w:rsidRPr="009578E0">
        <w:rPr>
          <w:rFonts w:asciiTheme="majorHAnsi" w:hAnsiTheme="majorHAnsi" w:cs="Arial"/>
          <w:szCs w:val="26"/>
        </w:rPr>
        <w:t xml:space="preserve"> criteria and concession fees were raised a</w:t>
      </w:r>
      <w:r w:rsidR="003B2267">
        <w:rPr>
          <w:rFonts w:asciiTheme="majorHAnsi" w:hAnsiTheme="majorHAnsi" w:cs="Arial"/>
          <w:szCs w:val="26"/>
        </w:rPr>
        <w:t>s</w:t>
      </w:r>
      <w:r w:rsidRPr="009578E0">
        <w:rPr>
          <w:rFonts w:asciiTheme="majorHAnsi" w:hAnsiTheme="majorHAnsi" w:cs="Arial"/>
          <w:szCs w:val="26"/>
        </w:rPr>
        <w:t xml:space="preserve"> an ongoing concern. The submissions </w:t>
      </w:r>
      <w:r w:rsidR="00146835">
        <w:rPr>
          <w:rFonts w:asciiTheme="majorHAnsi" w:hAnsiTheme="majorHAnsi" w:cs="Arial"/>
          <w:szCs w:val="26"/>
        </w:rPr>
        <w:t>emphasis</w:t>
      </w:r>
      <w:r w:rsidR="00146835" w:rsidRPr="009578E0">
        <w:rPr>
          <w:rFonts w:asciiTheme="majorHAnsi" w:hAnsiTheme="majorHAnsi" w:cs="Arial"/>
          <w:szCs w:val="26"/>
        </w:rPr>
        <w:t>ed</w:t>
      </w:r>
      <w:r w:rsidRPr="009578E0">
        <w:rPr>
          <w:rFonts w:asciiTheme="majorHAnsi" w:hAnsiTheme="majorHAnsi" w:cs="Arial"/>
          <w:szCs w:val="26"/>
        </w:rPr>
        <w:t xml:space="preserve"> that the learners in the ACE sector usually have higher </w:t>
      </w:r>
      <w:r w:rsidR="00146835">
        <w:rPr>
          <w:rFonts w:asciiTheme="majorHAnsi" w:hAnsiTheme="majorHAnsi" w:cs="Arial"/>
          <w:szCs w:val="26"/>
        </w:rPr>
        <w:t xml:space="preserve">learning </w:t>
      </w:r>
      <w:r w:rsidRPr="009578E0">
        <w:rPr>
          <w:rFonts w:asciiTheme="majorHAnsi" w:hAnsiTheme="majorHAnsi" w:cs="Arial"/>
          <w:szCs w:val="26"/>
        </w:rPr>
        <w:t xml:space="preserve">support needs and that </w:t>
      </w:r>
      <w:r w:rsidR="00146835">
        <w:rPr>
          <w:rFonts w:asciiTheme="majorHAnsi" w:hAnsiTheme="majorHAnsi" w:cs="Arial"/>
          <w:szCs w:val="26"/>
        </w:rPr>
        <w:t xml:space="preserve">many of the people they provide education to are not equipped socially or intellectually to attend large TAFE or private providers. The </w:t>
      </w:r>
      <w:r w:rsidRPr="009578E0">
        <w:rPr>
          <w:rFonts w:asciiTheme="majorHAnsi" w:hAnsiTheme="majorHAnsi" w:cs="Arial"/>
          <w:szCs w:val="26"/>
        </w:rPr>
        <w:t xml:space="preserve">ACE </w:t>
      </w:r>
      <w:r w:rsidR="00146835">
        <w:rPr>
          <w:rFonts w:asciiTheme="majorHAnsi" w:hAnsiTheme="majorHAnsi" w:cs="Arial"/>
          <w:szCs w:val="26"/>
        </w:rPr>
        <w:t xml:space="preserve">submissions queried the lower funding they were allocated at the </w:t>
      </w:r>
      <w:r w:rsidRPr="009578E0">
        <w:rPr>
          <w:rFonts w:asciiTheme="majorHAnsi" w:hAnsiTheme="majorHAnsi" w:cs="Arial"/>
          <w:szCs w:val="26"/>
        </w:rPr>
        <w:t xml:space="preserve">Student Contact Hour (SCH) rate </w:t>
      </w:r>
      <w:r w:rsidR="00146835">
        <w:rPr>
          <w:rFonts w:asciiTheme="majorHAnsi" w:hAnsiTheme="majorHAnsi" w:cs="Arial"/>
          <w:szCs w:val="26"/>
        </w:rPr>
        <w:t xml:space="preserve">which is less than that allocated to </w:t>
      </w:r>
      <w:r w:rsidRPr="009578E0">
        <w:rPr>
          <w:rFonts w:asciiTheme="majorHAnsi" w:hAnsiTheme="majorHAnsi" w:cs="Arial"/>
          <w:szCs w:val="26"/>
        </w:rPr>
        <w:t xml:space="preserve">TAFE/Private RTOs. </w:t>
      </w:r>
      <w:r w:rsidR="00146835">
        <w:rPr>
          <w:rFonts w:asciiTheme="majorHAnsi" w:hAnsiTheme="majorHAnsi" w:cs="Arial"/>
          <w:szCs w:val="26"/>
        </w:rPr>
        <w:t xml:space="preserve">The inconsistency of this allocation </w:t>
      </w:r>
      <w:r w:rsidR="002C0E6B">
        <w:rPr>
          <w:rFonts w:asciiTheme="majorHAnsi" w:hAnsiTheme="majorHAnsi" w:cs="Arial"/>
          <w:szCs w:val="26"/>
        </w:rPr>
        <w:t xml:space="preserve">it </w:t>
      </w:r>
      <w:r w:rsidR="00146835">
        <w:rPr>
          <w:rFonts w:asciiTheme="majorHAnsi" w:hAnsiTheme="majorHAnsi" w:cs="Arial"/>
          <w:szCs w:val="26"/>
        </w:rPr>
        <w:t xml:space="preserve">was argued </w:t>
      </w:r>
      <w:r w:rsidR="002C0E6B">
        <w:rPr>
          <w:rFonts w:asciiTheme="majorHAnsi" w:hAnsiTheme="majorHAnsi" w:cs="Arial"/>
          <w:szCs w:val="26"/>
        </w:rPr>
        <w:t xml:space="preserve">did not take into account </w:t>
      </w:r>
      <w:r w:rsidR="00A5100E">
        <w:rPr>
          <w:rFonts w:asciiTheme="majorHAnsi" w:hAnsiTheme="majorHAnsi" w:cs="Arial"/>
          <w:szCs w:val="26"/>
        </w:rPr>
        <w:t xml:space="preserve">the intensive education and training </w:t>
      </w:r>
      <w:r w:rsidR="00A44D91">
        <w:rPr>
          <w:rFonts w:asciiTheme="majorHAnsi" w:hAnsiTheme="majorHAnsi" w:cs="Arial"/>
          <w:szCs w:val="26"/>
        </w:rPr>
        <w:t xml:space="preserve">work </w:t>
      </w:r>
      <w:r w:rsidR="002C0E6B">
        <w:rPr>
          <w:rFonts w:asciiTheme="majorHAnsi" w:hAnsiTheme="majorHAnsi" w:cs="Arial"/>
          <w:szCs w:val="26"/>
        </w:rPr>
        <w:t>undertaken by</w:t>
      </w:r>
      <w:r w:rsidR="00A44D91">
        <w:rPr>
          <w:rFonts w:asciiTheme="majorHAnsi" w:hAnsiTheme="majorHAnsi" w:cs="Arial"/>
          <w:szCs w:val="26"/>
        </w:rPr>
        <w:t xml:space="preserve"> the sector given</w:t>
      </w:r>
      <w:r w:rsidR="00146835">
        <w:rPr>
          <w:rFonts w:asciiTheme="majorHAnsi" w:hAnsiTheme="majorHAnsi" w:cs="Arial"/>
          <w:szCs w:val="26"/>
        </w:rPr>
        <w:t xml:space="preserve"> </w:t>
      </w:r>
      <w:r w:rsidR="00A44D91">
        <w:rPr>
          <w:rFonts w:asciiTheme="majorHAnsi" w:hAnsiTheme="majorHAnsi" w:cs="Arial"/>
          <w:szCs w:val="26"/>
        </w:rPr>
        <w:t xml:space="preserve">the teaching </w:t>
      </w:r>
      <w:r w:rsidR="00146835">
        <w:rPr>
          <w:rFonts w:asciiTheme="majorHAnsi" w:hAnsiTheme="majorHAnsi" w:cs="Arial"/>
          <w:szCs w:val="26"/>
        </w:rPr>
        <w:t>requirements</w:t>
      </w:r>
      <w:r w:rsidR="00A44D91">
        <w:rPr>
          <w:rFonts w:asciiTheme="majorHAnsi" w:hAnsiTheme="majorHAnsi" w:cs="Arial"/>
          <w:szCs w:val="26"/>
        </w:rPr>
        <w:t xml:space="preserve"> of those attending ACE providers</w:t>
      </w:r>
      <w:r w:rsidR="00146835">
        <w:rPr>
          <w:rFonts w:asciiTheme="majorHAnsi" w:hAnsiTheme="majorHAnsi" w:cs="Arial"/>
          <w:szCs w:val="26"/>
        </w:rPr>
        <w:t xml:space="preserve">. </w:t>
      </w:r>
      <w:r w:rsidR="000D7D05">
        <w:rPr>
          <w:rFonts w:asciiTheme="majorHAnsi" w:hAnsiTheme="majorHAnsi" w:cs="Arial"/>
          <w:szCs w:val="26"/>
        </w:rPr>
        <w:t xml:space="preserve">The eligibility </w:t>
      </w:r>
      <w:r w:rsidR="000D7D05" w:rsidRPr="009578E0">
        <w:rPr>
          <w:rFonts w:asciiTheme="majorHAnsi" w:hAnsiTheme="majorHAnsi" w:cs="Arial"/>
          <w:szCs w:val="26"/>
        </w:rPr>
        <w:t>criteria were</w:t>
      </w:r>
      <w:r w:rsidRPr="009578E0">
        <w:rPr>
          <w:rFonts w:asciiTheme="majorHAnsi" w:hAnsiTheme="majorHAnsi" w:cs="Arial"/>
          <w:szCs w:val="26"/>
        </w:rPr>
        <w:t xml:space="preserve"> </w:t>
      </w:r>
      <w:r w:rsidR="00146835">
        <w:rPr>
          <w:rFonts w:asciiTheme="majorHAnsi" w:hAnsiTheme="majorHAnsi" w:cs="Arial"/>
          <w:szCs w:val="26"/>
        </w:rPr>
        <w:t xml:space="preserve">described </w:t>
      </w:r>
      <w:r w:rsidRPr="009578E0">
        <w:rPr>
          <w:rFonts w:asciiTheme="majorHAnsi" w:hAnsiTheme="majorHAnsi" w:cs="Arial"/>
          <w:szCs w:val="26"/>
        </w:rPr>
        <w:t xml:space="preserve">as restrictive and unnecessarily complex </w:t>
      </w:r>
      <w:r w:rsidR="002C0E6B">
        <w:rPr>
          <w:rFonts w:asciiTheme="majorHAnsi" w:hAnsiTheme="majorHAnsi" w:cs="Arial"/>
          <w:szCs w:val="26"/>
        </w:rPr>
        <w:t xml:space="preserve">with </w:t>
      </w:r>
      <w:r w:rsidRPr="009578E0">
        <w:rPr>
          <w:rFonts w:asciiTheme="majorHAnsi" w:hAnsiTheme="majorHAnsi" w:cs="Arial"/>
          <w:szCs w:val="26"/>
        </w:rPr>
        <w:t>the segmentation of qualifications in</w:t>
      </w:r>
      <w:r w:rsidR="002C0E6B">
        <w:rPr>
          <w:rFonts w:asciiTheme="majorHAnsi" w:hAnsiTheme="majorHAnsi" w:cs="Arial"/>
          <w:szCs w:val="26"/>
        </w:rPr>
        <w:t xml:space="preserve">to </w:t>
      </w:r>
      <w:r w:rsidRPr="009578E0">
        <w:rPr>
          <w:rFonts w:asciiTheme="majorHAnsi" w:hAnsiTheme="majorHAnsi" w:cs="Arial"/>
          <w:szCs w:val="26"/>
        </w:rPr>
        <w:t xml:space="preserve">five categories </w:t>
      </w:r>
      <w:r w:rsidR="002C0E6B">
        <w:rPr>
          <w:rFonts w:asciiTheme="majorHAnsi" w:hAnsiTheme="majorHAnsi" w:cs="Arial"/>
          <w:szCs w:val="26"/>
        </w:rPr>
        <w:t xml:space="preserve">adding further </w:t>
      </w:r>
      <w:r w:rsidRPr="009578E0">
        <w:rPr>
          <w:rFonts w:asciiTheme="majorHAnsi" w:hAnsiTheme="majorHAnsi" w:cs="Arial"/>
          <w:szCs w:val="26"/>
        </w:rPr>
        <w:t>complex</w:t>
      </w:r>
      <w:r w:rsidR="002C0E6B">
        <w:rPr>
          <w:rFonts w:asciiTheme="majorHAnsi" w:hAnsiTheme="majorHAnsi" w:cs="Arial"/>
          <w:szCs w:val="26"/>
        </w:rPr>
        <w:t>ity</w:t>
      </w:r>
      <w:r w:rsidRPr="009578E0">
        <w:rPr>
          <w:rFonts w:asciiTheme="majorHAnsi" w:hAnsiTheme="majorHAnsi" w:cs="Arial"/>
          <w:szCs w:val="26"/>
        </w:rPr>
        <w:t xml:space="preserve">. </w:t>
      </w:r>
      <w:r w:rsidR="000D7D05">
        <w:rPr>
          <w:rFonts w:asciiTheme="majorHAnsi" w:hAnsiTheme="majorHAnsi" w:cs="Arial"/>
          <w:szCs w:val="26"/>
        </w:rPr>
        <w:t xml:space="preserve">There </w:t>
      </w:r>
      <w:r w:rsidR="00A44D91">
        <w:rPr>
          <w:rFonts w:asciiTheme="majorHAnsi" w:hAnsiTheme="majorHAnsi" w:cs="Arial"/>
          <w:szCs w:val="26"/>
        </w:rPr>
        <w:t>were also</w:t>
      </w:r>
      <w:r w:rsidR="000D7D05">
        <w:rPr>
          <w:rFonts w:asciiTheme="majorHAnsi" w:hAnsiTheme="majorHAnsi" w:cs="Arial"/>
          <w:szCs w:val="26"/>
        </w:rPr>
        <w:t xml:space="preserve"> suggestions </w:t>
      </w:r>
      <w:r w:rsidR="00146835">
        <w:rPr>
          <w:rFonts w:asciiTheme="majorHAnsi" w:hAnsiTheme="majorHAnsi" w:cs="Arial"/>
          <w:szCs w:val="26"/>
        </w:rPr>
        <w:t xml:space="preserve">made that </w:t>
      </w:r>
      <w:r w:rsidR="000D7D05">
        <w:rPr>
          <w:rFonts w:asciiTheme="majorHAnsi" w:hAnsiTheme="majorHAnsi" w:cs="Arial"/>
          <w:szCs w:val="26"/>
        </w:rPr>
        <w:t xml:space="preserve">the </w:t>
      </w:r>
      <w:r w:rsidR="000D7D05" w:rsidRPr="009578E0">
        <w:rPr>
          <w:rFonts w:asciiTheme="majorHAnsi" w:hAnsiTheme="majorHAnsi" w:cs="Arial"/>
          <w:szCs w:val="26"/>
        </w:rPr>
        <w:t>offerings</w:t>
      </w:r>
      <w:r w:rsidR="00A44D91">
        <w:rPr>
          <w:rFonts w:asciiTheme="majorHAnsi" w:hAnsiTheme="majorHAnsi" w:cs="Arial"/>
          <w:szCs w:val="26"/>
        </w:rPr>
        <w:t xml:space="preserve"> in the foundation category need to be expanded. </w:t>
      </w:r>
      <w:r w:rsidRPr="009578E0">
        <w:rPr>
          <w:rFonts w:asciiTheme="majorHAnsi" w:hAnsiTheme="majorHAnsi" w:cs="Arial"/>
          <w:szCs w:val="26"/>
        </w:rPr>
        <w:t xml:space="preserve"> </w:t>
      </w:r>
    </w:p>
    <w:p w14:paraId="1C7CAAA8" w14:textId="77777777" w:rsidR="00146835" w:rsidRDefault="00146835" w:rsidP="00146835">
      <w:pPr>
        <w:jc w:val="both"/>
        <w:rPr>
          <w:rFonts w:asciiTheme="majorHAnsi" w:hAnsiTheme="majorHAnsi" w:cs="Arial"/>
          <w:szCs w:val="26"/>
        </w:rPr>
      </w:pPr>
    </w:p>
    <w:p w14:paraId="75ABA0C8" w14:textId="77777777" w:rsidR="00881AA6" w:rsidRPr="009578E0" w:rsidRDefault="007A37BF" w:rsidP="000D7D05">
      <w:pPr>
        <w:jc w:val="both"/>
        <w:rPr>
          <w:rFonts w:asciiTheme="majorHAnsi" w:hAnsiTheme="majorHAnsi" w:cs="Arial"/>
          <w:szCs w:val="26"/>
        </w:rPr>
      </w:pPr>
      <w:r w:rsidRPr="009578E0">
        <w:rPr>
          <w:rFonts w:asciiTheme="majorHAnsi" w:hAnsiTheme="majorHAnsi" w:cs="Arial"/>
          <w:szCs w:val="26"/>
        </w:rPr>
        <w:t xml:space="preserve">Concern was expressed in several submissions that a preoccupation with completion rates would marginalise many </w:t>
      </w:r>
      <w:r w:rsidR="002C0E6B">
        <w:rPr>
          <w:rFonts w:asciiTheme="majorHAnsi" w:hAnsiTheme="majorHAnsi" w:cs="Arial"/>
          <w:szCs w:val="26"/>
        </w:rPr>
        <w:t>ACE</w:t>
      </w:r>
      <w:r w:rsidRPr="009578E0">
        <w:rPr>
          <w:rFonts w:asciiTheme="majorHAnsi" w:hAnsiTheme="majorHAnsi" w:cs="Arial"/>
          <w:szCs w:val="26"/>
        </w:rPr>
        <w:t xml:space="preserve"> learners and that the benefits of participation </w:t>
      </w:r>
      <w:r w:rsidR="002C0E6B">
        <w:rPr>
          <w:rFonts w:asciiTheme="majorHAnsi" w:hAnsiTheme="majorHAnsi" w:cs="Arial"/>
          <w:szCs w:val="26"/>
        </w:rPr>
        <w:t xml:space="preserve">was </w:t>
      </w:r>
      <w:r w:rsidR="00146835">
        <w:rPr>
          <w:rFonts w:asciiTheme="majorHAnsi" w:hAnsiTheme="majorHAnsi" w:cs="Arial"/>
          <w:szCs w:val="26"/>
        </w:rPr>
        <w:t xml:space="preserve">being </w:t>
      </w:r>
      <w:r w:rsidRPr="009578E0">
        <w:rPr>
          <w:rFonts w:asciiTheme="majorHAnsi" w:hAnsiTheme="majorHAnsi" w:cs="Arial"/>
          <w:szCs w:val="26"/>
        </w:rPr>
        <w:t>devalued.  Th</w:t>
      </w:r>
      <w:r w:rsidR="000D7D05">
        <w:rPr>
          <w:rFonts w:asciiTheme="majorHAnsi" w:hAnsiTheme="majorHAnsi" w:cs="Arial"/>
          <w:szCs w:val="26"/>
        </w:rPr>
        <w:t xml:space="preserve">is was seen to </w:t>
      </w:r>
      <w:r w:rsidR="00146835">
        <w:rPr>
          <w:rFonts w:asciiTheme="majorHAnsi" w:hAnsiTheme="majorHAnsi" w:cs="Arial"/>
          <w:szCs w:val="26"/>
        </w:rPr>
        <w:t xml:space="preserve">be </w:t>
      </w:r>
      <w:r w:rsidR="000D7D05">
        <w:rPr>
          <w:rFonts w:asciiTheme="majorHAnsi" w:hAnsiTheme="majorHAnsi" w:cs="Arial"/>
          <w:szCs w:val="26"/>
        </w:rPr>
        <w:t xml:space="preserve">especially </w:t>
      </w:r>
      <w:r w:rsidR="00146835">
        <w:rPr>
          <w:rFonts w:asciiTheme="majorHAnsi" w:hAnsiTheme="majorHAnsi" w:cs="Arial"/>
          <w:szCs w:val="26"/>
        </w:rPr>
        <w:t xml:space="preserve">the case for ACE </w:t>
      </w:r>
      <w:r w:rsidRPr="009578E0">
        <w:rPr>
          <w:rFonts w:asciiTheme="majorHAnsi" w:hAnsiTheme="majorHAnsi" w:cs="Arial"/>
          <w:szCs w:val="26"/>
        </w:rPr>
        <w:t>provide</w:t>
      </w:r>
      <w:r w:rsidR="00146835">
        <w:rPr>
          <w:rFonts w:asciiTheme="majorHAnsi" w:hAnsiTheme="majorHAnsi" w:cs="Arial"/>
          <w:szCs w:val="26"/>
        </w:rPr>
        <w:t xml:space="preserve">rs </w:t>
      </w:r>
      <w:r w:rsidRPr="009578E0">
        <w:rPr>
          <w:rFonts w:asciiTheme="majorHAnsi" w:hAnsiTheme="majorHAnsi" w:cs="Arial"/>
          <w:szCs w:val="26"/>
        </w:rPr>
        <w:t>work</w:t>
      </w:r>
      <w:r w:rsidR="00146835">
        <w:rPr>
          <w:rFonts w:asciiTheme="majorHAnsi" w:hAnsiTheme="majorHAnsi" w:cs="Arial"/>
          <w:szCs w:val="26"/>
        </w:rPr>
        <w:t xml:space="preserve">ing </w:t>
      </w:r>
      <w:r w:rsidRPr="009578E0">
        <w:rPr>
          <w:rFonts w:asciiTheme="majorHAnsi" w:hAnsiTheme="majorHAnsi" w:cs="Arial"/>
          <w:szCs w:val="26"/>
        </w:rPr>
        <w:t>intensively with a range of ‘hard to reach’ learners in metropolitan and regional and rural settings. The funding and fee structures were identified as working against intensive</w:t>
      </w:r>
      <w:r w:rsidR="00A44D91">
        <w:rPr>
          <w:rFonts w:asciiTheme="majorHAnsi" w:hAnsiTheme="majorHAnsi" w:cs="Arial"/>
          <w:szCs w:val="26"/>
        </w:rPr>
        <w:t xml:space="preserve"> engagements w</w:t>
      </w:r>
      <w:r w:rsidRPr="009578E0">
        <w:rPr>
          <w:rFonts w:asciiTheme="majorHAnsi" w:hAnsiTheme="majorHAnsi" w:cs="Arial"/>
          <w:szCs w:val="26"/>
        </w:rPr>
        <w:t xml:space="preserve">ith learners with extra support needs. </w:t>
      </w:r>
      <w:r w:rsidR="000D7D05">
        <w:rPr>
          <w:rFonts w:asciiTheme="majorHAnsi" w:hAnsiTheme="majorHAnsi" w:cs="Arial"/>
          <w:szCs w:val="26"/>
        </w:rPr>
        <w:t xml:space="preserve">Learners with intellectual disabilities or acquired brain injuries, it was pointed out required continual education opportunities to reinforce learning and that the possibilities for such approaches were being undermined by the funding and fee arrangements. </w:t>
      </w:r>
      <w:r w:rsidRPr="009578E0">
        <w:rPr>
          <w:rFonts w:asciiTheme="majorHAnsi" w:hAnsiTheme="majorHAnsi" w:cs="Arial"/>
          <w:szCs w:val="26"/>
        </w:rPr>
        <w:t xml:space="preserve">The less formal culture in </w:t>
      </w:r>
      <w:r w:rsidR="000D7D05">
        <w:rPr>
          <w:rFonts w:asciiTheme="majorHAnsi" w:hAnsiTheme="majorHAnsi" w:cs="Arial"/>
          <w:szCs w:val="26"/>
        </w:rPr>
        <w:t>many ACE providers</w:t>
      </w:r>
      <w:r w:rsidRPr="009578E0">
        <w:rPr>
          <w:rFonts w:asciiTheme="majorHAnsi" w:hAnsiTheme="majorHAnsi" w:cs="Arial"/>
          <w:szCs w:val="26"/>
        </w:rPr>
        <w:t xml:space="preserve"> </w:t>
      </w:r>
      <w:r w:rsidR="00A44D91">
        <w:rPr>
          <w:rFonts w:asciiTheme="majorHAnsi" w:hAnsiTheme="majorHAnsi" w:cs="Arial"/>
          <w:szCs w:val="26"/>
        </w:rPr>
        <w:t xml:space="preserve">the submissions </w:t>
      </w:r>
      <w:r w:rsidR="002C0E6B">
        <w:rPr>
          <w:rFonts w:asciiTheme="majorHAnsi" w:hAnsiTheme="majorHAnsi" w:cs="Arial"/>
          <w:szCs w:val="26"/>
        </w:rPr>
        <w:t xml:space="preserve">argued </w:t>
      </w:r>
      <w:r w:rsidRPr="009578E0">
        <w:rPr>
          <w:rFonts w:asciiTheme="majorHAnsi" w:hAnsiTheme="majorHAnsi" w:cs="Arial"/>
          <w:szCs w:val="26"/>
        </w:rPr>
        <w:t>enable</w:t>
      </w:r>
      <w:r w:rsidR="002C0E6B">
        <w:rPr>
          <w:rFonts w:asciiTheme="majorHAnsi" w:hAnsiTheme="majorHAnsi" w:cs="Arial"/>
          <w:szCs w:val="26"/>
        </w:rPr>
        <w:t xml:space="preserve"> vulnerable </w:t>
      </w:r>
      <w:r w:rsidRPr="009578E0">
        <w:rPr>
          <w:rFonts w:asciiTheme="majorHAnsi" w:hAnsiTheme="majorHAnsi" w:cs="Arial"/>
          <w:szCs w:val="26"/>
        </w:rPr>
        <w:t xml:space="preserve">people to access </w:t>
      </w:r>
      <w:r w:rsidR="000D7D05">
        <w:rPr>
          <w:rFonts w:asciiTheme="majorHAnsi" w:hAnsiTheme="majorHAnsi" w:cs="Arial"/>
          <w:szCs w:val="26"/>
        </w:rPr>
        <w:t>VET in environments responsive to and useful to their personal and local conte</w:t>
      </w:r>
      <w:r w:rsidR="00160699">
        <w:rPr>
          <w:rFonts w:asciiTheme="majorHAnsi" w:hAnsiTheme="majorHAnsi" w:cs="Arial"/>
          <w:szCs w:val="26"/>
        </w:rPr>
        <w:t>xts</w:t>
      </w:r>
      <w:r w:rsidRPr="009578E0">
        <w:rPr>
          <w:rFonts w:asciiTheme="majorHAnsi" w:hAnsiTheme="majorHAnsi" w:cs="Arial"/>
          <w:szCs w:val="26"/>
        </w:rPr>
        <w:t xml:space="preserve">. </w:t>
      </w:r>
    </w:p>
    <w:p w14:paraId="544409DF" w14:textId="77777777" w:rsidR="00C65BC9" w:rsidRDefault="00C65BC9" w:rsidP="00C65BC9">
      <w:pPr>
        <w:rPr>
          <w:rFonts w:asciiTheme="majorHAnsi" w:hAnsiTheme="majorHAnsi" w:cs="Arial"/>
          <w:szCs w:val="26"/>
        </w:rPr>
      </w:pPr>
    </w:p>
    <w:p w14:paraId="513B9B88" w14:textId="77777777" w:rsidR="00881AA6" w:rsidRPr="009578E0" w:rsidRDefault="00881AA6" w:rsidP="007F595F">
      <w:pPr>
        <w:jc w:val="both"/>
        <w:rPr>
          <w:rFonts w:asciiTheme="majorHAnsi" w:hAnsiTheme="majorHAnsi" w:cs="Arial"/>
          <w:szCs w:val="26"/>
        </w:rPr>
      </w:pPr>
      <w:r w:rsidRPr="009578E0">
        <w:rPr>
          <w:rFonts w:asciiTheme="majorHAnsi" w:hAnsiTheme="majorHAnsi" w:cs="Arial"/>
          <w:szCs w:val="26"/>
        </w:rPr>
        <w:t>Industry sub</w:t>
      </w:r>
      <w:r w:rsidR="00A5100E">
        <w:rPr>
          <w:rFonts w:asciiTheme="majorHAnsi" w:hAnsiTheme="majorHAnsi" w:cs="Arial"/>
          <w:szCs w:val="26"/>
        </w:rPr>
        <w:t xml:space="preserve">missions expressed concern </w:t>
      </w:r>
      <w:r w:rsidR="000D7D05">
        <w:rPr>
          <w:rFonts w:asciiTheme="majorHAnsi" w:hAnsiTheme="majorHAnsi" w:cs="Arial"/>
          <w:szCs w:val="26"/>
        </w:rPr>
        <w:t xml:space="preserve">that </w:t>
      </w:r>
      <w:r w:rsidR="002C0E6B">
        <w:rPr>
          <w:rFonts w:asciiTheme="majorHAnsi" w:hAnsiTheme="majorHAnsi" w:cs="Arial"/>
          <w:szCs w:val="26"/>
        </w:rPr>
        <w:t xml:space="preserve">the </w:t>
      </w:r>
      <w:r w:rsidR="000D7D05">
        <w:rPr>
          <w:rFonts w:asciiTheme="majorHAnsi" w:hAnsiTheme="majorHAnsi" w:cs="Arial"/>
          <w:szCs w:val="26"/>
        </w:rPr>
        <w:t xml:space="preserve">unintended </w:t>
      </w:r>
      <w:r w:rsidRPr="009578E0">
        <w:rPr>
          <w:rFonts w:asciiTheme="majorHAnsi" w:hAnsiTheme="majorHAnsi" w:cs="Arial"/>
          <w:szCs w:val="26"/>
        </w:rPr>
        <w:t xml:space="preserve">consequence of the VTG </w:t>
      </w:r>
      <w:r w:rsidR="000D7D05">
        <w:rPr>
          <w:rFonts w:asciiTheme="majorHAnsi" w:hAnsiTheme="majorHAnsi" w:cs="Arial"/>
          <w:szCs w:val="26"/>
        </w:rPr>
        <w:t xml:space="preserve">was that it </w:t>
      </w:r>
      <w:r w:rsidRPr="009578E0">
        <w:rPr>
          <w:rFonts w:asciiTheme="majorHAnsi" w:hAnsiTheme="majorHAnsi" w:cs="Arial"/>
          <w:szCs w:val="26"/>
        </w:rPr>
        <w:t>imped</w:t>
      </w:r>
      <w:r w:rsidR="000D7D05">
        <w:rPr>
          <w:rFonts w:asciiTheme="majorHAnsi" w:hAnsiTheme="majorHAnsi" w:cs="Arial"/>
          <w:szCs w:val="26"/>
        </w:rPr>
        <w:t xml:space="preserve">ed </w:t>
      </w:r>
      <w:r w:rsidRPr="009578E0">
        <w:rPr>
          <w:rFonts w:asciiTheme="majorHAnsi" w:hAnsiTheme="majorHAnsi" w:cs="Arial"/>
          <w:szCs w:val="26"/>
        </w:rPr>
        <w:t xml:space="preserve">lifelong learning and reskilling. </w:t>
      </w:r>
      <w:r w:rsidR="000D7D05">
        <w:rPr>
          <w:rFonts w:asciiTheme="majorHAnsi" w:hAnsiTheme="majorHAnsi" w:cs="Arial"/>
          <w:szCs w:val="26"/>
        </w:rPr>
        <w:t>An example of the limited effects of the eligibility cr</w:t>
      </w:r>
      <w:r w:rsidR="00A5100E">
        <w:rPr>
          <w:rFonts w:asciiTheme="majorHAnsi" w:hAnsiTheme="majorHAnsi" w:cs="Arial"/>
          <w:szCs w:val="26"/>
        </w:rPr>
        <w:t xml:space="preserve">iteria is poignantly made in a </w:t>
      </w:r>
      <w:r w:rsidR="007F595F">
        <w:rPr>
          <w:rFonts w:asciiTheme="majorHAnsi" w:hAnsiTheme="majorHAnsi" w:cs="Arial"/>
          <w:szCs w:val="26"/>
        </w:rPr>
        <w:t>submission</w:t>
      </w:r>
      <w:r w:rsidR="000D7D05">
        <w:rPr>
          <w:rFonts w:asciiTheme="majorHAnsi" w:hAnsiTheme="majorHAnsi" w:cs="Arial"/>
          <w:szCs w:val="26"/>
        </w:rPr>
        <w:t xml:space="preserve"> from the building industry. </w:t>
      </w:r>
    </w:p>
    <w:p w14:paraId="76CAA358" w14:textId="77777777" w:rsidR="007F595F" w:rsidRDefault="000D7D05" w:rsidP="00A5100E">
      <w:pPr>
        <w:ind w:left="720"/>
        <w:jc w:val="both"/>
        <w:rPr>
          <w:rFonts w:asciiTheme="majorHAnsi" w:hAnsiTheme="majorHAnsi" w:cs="Times New Roman"/>
          <w:color w:val="000000"/>
        </w:rPr>
      </w:pPr>
      <w:r>
        <w:rPr>
          <w:rFonts w:ascii="ItalicMT" w:hAnsi="ItalicMT" w:cs="ItalicMT"/>
          <w:i/>
          <w:iCs/>
          <w:sz w:val="20"/>
          <w:szCs w:val="20"/>
        </w:rPr>
        <w:t>‘</w:t>
      </w:r>
      <w:r w:rsidRPr="000D7D05">
        <w:rPr>
          <w:rFonts w:asciiTheme="majorHAnsi" w:hAnsiTheme="majorHAnsi" w:cs="Times New Roman"/>
          <w:color w:val="000000"/>
        </w:rPr>
        <w:t>Sally’, a 21 year old, has been working in a café since leaving school 4 years ago. She wants to</w:t>
      </w:r>
      <w:r>
        <w:rPr>
          <w:rFonts w:asciiTheme="majorHAnsi" w:hAnsiTheme="majorHAnsi" w:cs="Times New Roman"/>
          <w:color w:val="000000"/>
        </w:rPr>
        <w:t xml:space="preserve"> </w:t>
      </w:r>
      <w:r w:rsidRPr="000D7D05">
        <w:rPr>
          <w:rFonts w:asciiTheme="majorHAnsi" w:hAnsiTheme="majorHAnsi" w:cs="Times New Roman"/>
          <w:color w:val="000000"/>
        </w:rPr>
        <w:t>improve her earning capacity and change career through becoming a plumber, realising the</w:t>
      </w:r>
      <w:r>
        <w:rPr>
          <w:rFonts w:asciiTheme="majorHAnsi" w:hAnsiTheme="majorHAnsi" w:cs="Times New Roman"/>
          <w:color w:val="000000"/>
        </w:rPr>
        <w:t xml:space="preserve"> </w:t>
      </w:r>
      <w:r w:rsidRPr="000D7D05">
        <w:rPr>
          <w:rFonts w:asciiTheme="majorHAnsi" w:hAnsiTheme="majorHAnsi" w:cs="Times New Roman"/>
          <w:color w:val="000000"/>
        </w:rPr>
        <w:t>benefit of having a trade in an area that has great potential. The best way to enter this industry is through a</w:t>
      </w:r>
      <w:r>
        <w:rPr>
          <w:rFonts w:asciiTheme="majorHAnsi" w:hAnsiTheme="majorHAnsi" w:cs="Times New Roman"/>
          <w:color w:val="000000"/>
        </w:rPr>
        <w:t xml:space="preserve"> </w:t>
      </w:r>
      <w:r w:rsidRPr="000D7D05">
        <w:rPr>
          <w:rFonts w:asciiTheme="majorHAnsi" w:hAnsiTheme="majorHAnsi" w:cs="Times New Roman"/>
          <w:color w:val="000000"/>
        </w:rPr>
        <w:t>pre</w:t>
      </w:r>
      <w:r w:rsidR="00A5100E">
        <w:rPr>
          <w:rFonts w:asciiTheme="majorHAnsi" w:hAnsiTheme="majorHAnsi" w:cs="Times New Roman"/>
          <w:color w:val="000000"/>
        </w:rPr>
        <w:t>-</w:t>
      </w:r>
      <w:r w:rsidRPr="000D7D05">
        <w:rPr>
          <w:rFonts w:asciiTheme="majorHAnsi" w:hAnsiTheme="majorHAnsi" w:cs="Times New Roman"/>
          <w:color w:val="000000"/>
        </w:rPr>
        <w:t>apprenticeship – a Certificate II in Plumbing. During her first year of employment at the café</w:t>
      </w:r>
      <w:r>
        <w:rPr>
          <w:rFonts w:asciiTheme="majorHAnsi" w:hAnsiTheme="majorHAnsi" w:cs="Times New Roman"/>
          <w:color w:val="000000"/>
        </w:rPr>
        <w:t xml:space="preserve"> </w:t>
      </w:r>
      <w:r w:rsidRPr="000D7D05">
        <w:rPr>
          <w:rFonts w:asciiTheme="majorHAnsi" w:hAnsiTheme="majorHAnsi" w:cs="Times New Roman"/>
          <w:color w:val="000000"/>
        </w:rPr>
        <w:t>Sally’s employer put her through a 6 month Certificate II traineeship in Hospitality. Sally is</w:t>
      </w:r>
      <w:r>
        <w:rPr>
          <w:rFonts w:asciiTheme="majorHAnsi" w:hAnsiTheme="majorHAnsi" w:cs="Times New Roman"/>
          <w:color w:val="000000"/>
        </w:rPr>
        <w:t xml:space="preserve"> now </w:t>
      </w:r>
      <w:r w:rsidRPr="000D7D05">
        <w:rPr>
          <w:rFonts w:asciiTheme="majorHAnsi" w:hAnsiTheme="majorHAnsi" w:cs="Times New Roman"/>
          <w:color w:val="000000"/>
        </w:rPr>
        <w:t>ineligible for government funding and what would have been a $600 course is now $2000, on her</w:t>
      </w:r>
      <w:r w:rsidR="00244DDD">
        <w:rPr>
          <w:rFonts w:asciiTheme="majorHAnsi" w:hAnsiTheme="majorHAnsi" w:cs="Times New Roman"/>
          <w:color w:val="000000"/>
        </w:rPr>
        <w:t xml:space="preserve"> </w:t>
      </w:r>
      <w:r w:rsidRPr="000D7D05">
        <w:rPr>
          <w:rFonts w:asciiTheme="majorHAnsi" w:hAnsiTheme="majorHAnsi" w:cs="Times New Roman"/>
          <w:color w:val="000000"/>
        </w:rPr>
        <w:t>current income she cannot afford this fee</w:t>
      </w:r>
      <w:r w:rsidR="00731147">
        <w:rPr>
          <w:rFonts w:asciiTheme="majorHAnsi" w:hAnsiTheme="majorHAnsi" w:cs="Times New Roman"/>
          <w:color w:val="000000"/>
        </w:rPr>
        <w:t xml:space="preserve"> </w:t>
      </w:r>
      <w:r w:rsidR="00A5100E">
        <w:rPr>
          <w:rFonts w:asciiTheme="majorHAnsi" w:hAnsiTheme="majorHAnsi" w:cs="Times New Roman"/>
          <w:color w:val="000000"/>
        </w:rPr>
        <w:t>(</w:t>
      </w:r>
      <w:r w:rsidR="00731147">
        <w:rPr>
          <w:rFonts w:asciiTheme="majorHAnsi" w:hAnsiTheme="majorHAnsi" w:cs="Times New Roman"/>
          <w:color w:val="000000"/>
        </w:rPr>
        <w:t>Building I</w:t>
      </w:r>
      <w:r w:rsidR="00A5100E">
        <w:rPr>
          <w:rFonts w:asciiTheme="majorHAnsi" w:hAnsiTheme="majorHAnsi" w:cs="Times New Roman"/>
          <w:color w:val="000000"/>
        </w:rPr>
        <w:t>ndustry Consultative Committee)</w:t>
      </w:r>
      <w:r w:rsidRPr="000D7D05">
        <w:rPr>
          <w:rFonts w:asciiTheme="majorHAnsi" w:hAnsiTheme="majorHAnsi" w:cs="Times New Roman"/>
          <w:color w:val="000000"/>
        </w:rPr>
        <w:t>.</w:t>
      </w:r>
    </w:p>
    <w:p w14:paraId="56E9593C" w14:textId="77777777" w:rsidR="009D10A9" w:rsidRDefault="007F595F" w:rsidP="009D10A9">
      <w:pPr>
        <w:jc w:val="both"/>
        <w:rPr>
          <w:rFonts w:asciiTheme="majorHAnsi" w:hAnsiTheme="majorHAnsi" w:cs="Arial"/>
          <w:szCs w:val="26"/>
        </w:rPr>
      </w:pPr>
      <w:r>
        <w:rPr>
          <w:rFonts w:asciiTheme="majorHAnsi" w:hAnsiTheme="majorHAnsi" w:cs="Times New Roman"/>
          <w:color w:val="000000"/>
        </w:rPr>
        <w:t xml:space="preserve">Another </w:t>
      </w:r>
      <w:r w:rsidR="00881AA6" w:rsidRPr="009578E0">
        <w:rPr>
          <w:rFonts w:asciiTheme="majorHAnsi" w:hAnsiTheme="majorHAnsi" w:cs="Arial"/>
          <w:szCs w:val="26"/>
        </w:rPr>
        <w:t xml:space="preserve">submission argued that low cost training </w:t>
      </w:r>
      <w:r w:rsidRPr="009578E0">
        <w:rPr>
          <w:rFonts w:asciiTheme="majorHAnsi" w:hAnsiTheme="majorHAnsi" w:cs="Arial"/>
          <w:szCs w:val="26"/>
        </w:rPr>
        <w:t>would</w:t>
      </w:r>
      <w:r w:rsidR="00881AA6" w:rsidRPr="009578E0">
        <w:rPr>
          <w:rFonts w:asciiTheme="majorHAnsi" w:hAnsiTheme="majorHAnsi" w:cs="Arial"/>
          <w:szCs w:val="26"/>
        </w:rPr>
        <w:t xml:space="preserve"> not </w:t>
      </w:r>
      <w:r>
        <w:rPr>
          <w:rFonts w:asciiTheme="majorHAnsi" w:hAnsiTheme="majorHAnsi" w:cs="Arial"/>
          <w:szCs w:val="26"/>
        </w:rPr>
        <w:t xml:space="preserve">guarantee or result in </w:t>
      </w:r>
      <w:r w:rsidR="00881AA6" w:rsidRPr="009578E0">
        <w:rPr>
          <w:rFonts w:asciiTheme="majorHAnsi" w:hAnsiTheme="majorHAnsi" w:cs="Arial"/>
          <w:szCs w:val="26"/>
        </w:rPr>
        <w:t xml:space="preserve">high quality </w:t>
      </w:r>
      <w:r>
        <w:rPr>
          <w:rFonts w:asciiTheme="majorHAnsi" w:hAnsiTheme="majorHAnsi" w:cs="Arial"/>
          <w:szCs w:val="26"/>
        </w:rPr>
        <w:t xml:space="preserve">skills </w:t>
      </w:r>
      <w:r w:rsidR="00881AA6" w:rsidRPr="009578E0">
        <w:rPr>
          <w:rFonts w:asciiTheme="majorHAnsi" w:hAnsiTheme="majorHAnsi" w:cs="Arial"/>
          <w:szCs w:val="26"/>
        </w:rPr>
        <w:t xml:space="preserve">outcomes. The point </w:t>
      </w:r>
      <w:r>
        <w:rPr>
          <w:rFonts w:asciiTheme="majorHAnsi" w:hAnsiTheme="majorHAnsi" w:cs="Arial"/>
          <w:szCs w:val="26"/>
        </w:rPr>
        <w:t xml:space="preserve">being that </w:t>
      </w:r>
      <w:r w:rsidR="00160699">
        <w:rPr>
          <w:rFonts w:asciiTheme="majorHAnsi" w:hAnsiTheme="majorHAnsi" w:cs="Arial"/>
          <w:szCs w:val="26"/>
        </w:rPr>
        <w:t xml:space="preserve">fee hikes </w:t>
      </w:r>
      <w:r w:rsidR="00881AA6" w:rsidRPr="009578E0">
        <w:rPr>
          <w:rFonts w:asciiTheme="majorHAnsi" w:hAnsiTheme="majorHAnsi" w:cs="Arial"/>
          <w:szCs w:val="26"/>
        </w:rPr>
        <w:t xml:space="preserve">were also a disincentive to increase targets for those achieving qualifications as specified by </w:t>
      </w:r>
      <w:r>
        <w:rPr>
          <w:rFonts w:asciiTheme="majorHAnsi" w:hAnsiTheme="majorHAnsi" w:cs="Arial"/>
          <w:szCs w:val="26"/>
        </w:rPr>
        <w:t xml:space="preserve">government targets. </w:t>
      </w:r>
      <w:r w:rsidR="00881AA6" w:rsidRPr="009578E0">
        <w:rPr>
          <w:rFonts w:asciiTheme="majorHAnsi" w:hAnsiTheme="majorHAnsi" w:cs="Arial"/>
          <w:szCs w:val="26"/>
        </w:rPr>
        <w:t xml:space="preserve">A major concern was that the </w:t>
      </w:r>
      <w:r>
        <w:rPr>
          <w:rFonts w:asciiTheme="majorHAnsi" w:hAnsiTheme="majorHAnsi" w:cs="Arial"/>
          <w:szCs w:val="26"/>
        </w:rPr>
        <w:t>V</w:t>
      </w:r>
      <w:r w:rsidR="00881AA6" w:rsidRPr="009578E0">
        <w:rPr>
          <w:rFonts w:asciiTheme="majorHAnsi" w:hAnsiTheme="majorHAnsi" w:cs="Arial"/>
          <w:szCs w:val="26"/>
        </w:rPr>
        <w:t>TG would not addres</w:t>
      </w:r>
      <w:r w:rsidR="00AD4D09">
        <w:rPr>
          <w:rFonts w:asciiTheme="majorHAnsi" w:hAnsiTheme="majorHAnsi" w:cs="Arial"/>
          <w:szCs w:val="26"/>
        </w:rPr>
        <w:t>s</w:t>
      </w:r>
      <w:r w:rsidR="00881AA6" w:rsidRPr="009578E0">
        <w:rPr>
          <w:rFonts w:asciiTheme="majorHAnsi" w:hAnsiTheme="majorHAnsi" w:cs="Arial"/>
          <w:szCs w:val="26"/>
        </w:rPr>
        <w:t xml:space="preserve"> or </w:t>
      </w:r>
      <w:r w:rsidRPr="009578E0">
        <w:rPr>
          <w:rFonts w:asciiTheme="majorHAnsi" w:hAnsiTheme="majorHAnsi" w:cs="Arial"/>
          <w:szCs w:val="26"/>
        </w:rPr>
        <w:t>ameliorate</w:t>
      </w:r>
      <w:r w:rsidR="00881AA6" w:rsidRPr="009578E0">
        <w:rPr>
          <w:rFonts w:asciiTheme="majorHAnsi" w:hAnsiTheme="majorHAnsi" w:cs="Arial"/>
          <w:szCs w:val="26"/>
        </w:rPr>
        <w:t xml:space="preserve"> the consequences of skills shortages. </w:t>
      </w:r>
    </w:p>
    <w:p w14:paraId="51112CC9" w14:textId="77777777" w:rsidR="009D10A9" w:rsidRDefault="009D10A9" w:rsidP="009D10A9">
      <w:pPr>
        <w:jc w:val="both"/>
        <w:rPr>
          <w:rFonts w:asciiTheme="majorHAnsi" w:hAnsiTheme="majorHAnsi" w:cs="Arial"/>
          <w:szCs w:val="26"/>
        </w:rPr>
      </w:pPr>
    </w:p>
    <w:p w14:paraId="1AEFFAA1" w14:textId="77777777" w:rsidR="002C0E6B" w:rsidRDefault="004F40D4" w:rsidP="009D10A9">
      <w:pPr>
        <w:jc w:val="both"/>
        <w:rPr>
          <w:rFonts w:asciiTheme="majorHAnsi" w:hAnsiTheme="majorHAnsi" w:cs="Arial"/>
          <w:szCs w:val="26"/>
        </w:rPr>
      </w:pPr>
      <w:r>
        <w:rPr>
          <w:rFonts w:asciiTheme="majorHAnsi" w:hAnsiTheme="majorHAnsi" w:cs="Arial"/>
          <w:szCs w:val="26"/>
        </w:rPr>
        <w:t xml:space="preserve">An industry submission from the dairy industry </w:t>
      </w:r>
      <w:r w:rsidR="007F595F">
        <w:rPr>
          <w:rFonts w:asciiTheme="majorHAnsi" w:hAnsiTheme="majorHAnsi" w:cs="Arial"/>
          <w:szCs w:val="26"/>
        </w:rPr>
        <w:t xml:space="preserve">raised the issue </w:t>
      </w:r>
      <w:r w:rsidR="00160699">
        <w:rPr>
          <w:rFonts w:asciiTheme="majorHAnsi" w:hAnsiTheme="majorHAnsi" w:cs="Arial"/>
          <w:szCs w:val="26"/>
        </w:rPr>
        <w:t>of ‘</w:t>
      </w:r>
      <w:r w:rsidR="00881AA6" w:rsidRPr="009578E0">
        <w:rPr>
          <w:rFonts w:asciiTheme="majorHAnsi" w:hAnsiTheme="majorHAnsi" w:cs="Arial"/>
          <w:szCs w:val="26"/>
        </w:rPr>
        <w:t xml:space="preserve">fees shock’ and was actively negotiating </w:t>
      </w:r>
      <w:r w:rsidR="007F595F">
        <w:rPr>
          <w:rFonts w:asciiTheme="majorHAnsi" w:hAnsiTheme="majorHAnsi" w:cs="Arial"/>
          <w:szCs w:val="26"/>
        </w:rPr>
        <w:t>through its submission and other activity</w:t>
      </w:r>
      <w:r w:rsidR="00160699">
        <w:rPr>
          <w:rFonts w:asciiTheme="majorHAnsi" w:hAnsiTheme="majorHAnsi" w:cs="Arial"/>
          <w:szCs w:val="26"/>
        </w:rPr>
        <w:t xml:space="preserve"> for </w:t>
      </w:r>
      <w:r w:rsidR="00881AA6" w:rsidRPr="009578E0">
        <w:rPr>
          <w:rFonts w:asciiTheme="majorHAnsi" w:hAnsiTheme="majorHAnsi" w:cs="Arial"/>
          <w:szCs w:val="26"/>
        </w:rPr>
        <w:t>the re</w:t>
      </w:r>
      <w:r w:rsidR="007F595F">
        <w:rPr>
          <w:rFonts w:asciiTheme="majorHAnsi" w:hAnsiTheme="majorHAnsi" w:cs="Arial"/>
          <w:szCs w:val="26"/>
        </w:rPr>
        <w:t>-</w:t>
      </w:r>
      <w:r w:rsidR="00881AA6" w:rsidRPr="009578E0">
        <w:rPr>
          <w:rFonts w:asciiTheme="majorHAnsi" w:hAnsiTheme="majorHAnsi" w:cs="Arial"/>
          <w:szCs w:val="26"/>
        </w:rPr>
        <w:t xml:space="preserve">categorisation </w:t>
      </w:r>
      <w:r w:rsidR="007F595F" w:rsidRPr="009578E0">
        <w:rPr>
          <w:rFonts w:asciiTheme="majorHAnsi" w:hAnsiTheme="majorHAnsi" w:cs="Arial"/>
          <w:szCs w:val="26"/>
        </w:rPr>
        <w:t>of its</w:t>
      </w:r>
      <w:r w:rsidR="00881AA6" w:rsidRPr="009578E0">
        <w:rPr>
          <w:rFonts w:asciiTheme="majorHAnsi" w:hAnsiTheme="majorHAnsi" w:cs="Arial"/>
          <w:szCs w:val="26"/>
        </w:rPr>
        <w:t xml:space="preserve"> skills to a lower qualification level to make skills development more affordable. What was once</w:t>
      </w:r>
      <w:r w:rsidR="007F595F">
        <w:rPr>
          <w:rFonts w:asciiTheme="majorHAnsi" w:hAnsiTheme="majorHAnsi" w:cs="Arial"/>
          <w:szCs w:val="26"/>
        </w:rPr>
        <w:t xml:space="preserve"> </w:t>
      </w:r>
      <w:r>
        <w:rPr>
          <w:rFonts w:asciiTheme="majorHAnsi" w:hAnsiTheme="majorHAnsi" w:cs="Arial"/>
          <w:szCs w:val="26"/>
        </w:rPr>
        <w:t xml:space="preserve">a </w:t>
      </w:r>
      <w:r w:rsidR="00881AA6" w:rsidRPr="009578E0">
        <w:rPr>
          <w:rFonts w:asciiTheme="majorHAnsi" w:hAnsiTheme="majorHAnsi" w:cs="Arial"/>
          <w:szCs w:val="26"/>
        </w:rPr>
        <w:t>$387 pro</w:t>
      </w:r>
      <w:r w:rsidR="009D10A9">
        <w:rPr>
          <w:rFonts w:asciiTheme="majorHAnsi" w:hAnsiTheme="majorHAnsi" w:cs="Arial"/>
          <w:szCs w:val="26"/>
        </w:rPr>
        <w:t xml:space="preserve">gram had increased to </w:t>
      </w:r>
      <w:r>
        <w:rPr>
          <w:rFonts w:asciiTheme="majorHAnsi" w:hAnsiTheme="majorHAnsi" w:cs="Arial"/>
          <w:szCs w:val="26"/>
        </w:rPr>
        <w:t>$2,</w:t>
      </w:r>
      <w:r w:rsidR="009D10A9">
        <w:rPr>
          <w:rFonts w:asciiTheme="majorHAnsi" w:hAnsiTheme="majorHAnsi" w:cs="Arial"/>
          <w:szCs w:val="26"/>
        </w:rPr>
        <w:t>272 (</w:t>
      </w:r>
      <w:r w:rsidR="00881AA6" w:rsidRPr="009578E0">
        <w:rPr>
          <w:rFonts w:asciiTheme="majorHAnsi" w:hAnsiTheme="majorHAnsi" w:cs="Arial"/>
          <w:szCs w:val="26"/>
        </w:rPr>
        <w:t xml:space="preserve">Dairy industry). </w:t>
      </w:r>
      <w:r w:rsidR="002C0E6B">
        <w:rPr>
          <w:rFonts w:asciiTheme="majorHAnsi" w:hAnsiTheme="majorHAnsi" w:cs="Arial"/>
          <w:szCs w:val="26"/>
        </w:rPr>
        <w:t>Another s</w:t>
      </w:r>
      <w:r w:rsidR="00881AA6" w:rsidRPr="009578E0">
        <w:rPr>
          <w:rFonts w:asciiTheme="majorHAnsi" w:hAnsiTheme="majorHAnsi" w:cs="Arial"/>
          <w:szCs w:val="26"/>
        </w:rPr>
        <w:t xml:space="preserve">ubmissions from the building and housing sector were </w:t>
      </w:r>
      <w:r w:rsidR="002C0E6B">
        <w:rPr>
          <w:rFonts w:asciiTheme="majorHAnsi" w:hAnsiTheme="majorHAnsi" w:cs="Arial"/>
          <w:szCs w:val="26"/>
        </w:rPr>
        <w:t xml:space="preserve">also </w:t>
      </w:r>
      <w:r w:rsidR="00881AA6" w:rsidRPr="009578E0">
        <w:rPr>
          <w:rFonts w:asciiTheme="majorHAnsi" w:hAnsiTheme="majorHAnsi" w:cs="Arial"/>
          <w:szCs w:val="26"/>
        </w:rPr>
        <w:t xml:space="preserve">concerned about </w:t>
      </w:r>
      <w:r w:rsidR="002C0E6B">
        <w:rPr>
          <w:rFonts w:asciiTheme="majorHAnsi" w:hAnsiTheme="majorHAnsi" w:cs="Arial"/>
          <w:szCs w:val="26"/>
        </w:rPr>
        <w:t xml:space="preserve">the </w:t>
      </w:r>
      <w:r w:rsidR="00160699">
        <w:rPr>
          <w:rFonts w:asciiTheme="majorHAnsi" w:hAnsiTheme="majorHAnsi" w:cs="Arial"/>
          <w:szCs w:val="26"/>
        </w:rPr>
        <w:t xml:space="preserve">eligibility criteria of </w:t>
      </w:r>
      <w:r w:rsidR="00881AA6" w:rsidRPr="009578E0">
        <w:rPr>
          <w:rFonts w:asciiTheme="majorHAnsi" w:hAnsiTheme="majorHAnsi" w:cs="Arial"/>
          <w:szCs w:val="26"/>
        </w:rPr>
        <w:t xml:space="preserve">prior qualifications </w:t>
      </w:r>
      <w:r w:rsidR="00160699">
        <w:rPr>
          <w:rFonts w:asciiTheme="majorHAnsi" w:hAnsiTheme="majorHAnsi" w:cs="Arial"/>
          <w:szCs w:val="26"/>
        </w:rPr>
        <w:t xml:space="preserve">foreclosing the option of a government subsidized place </w:t>
      </w:r>
      <w:r w:rsidR="00881AA6" w:rsidRPr="009578E0">
        <w:rPr>
          <w:rFonts w:asciiTheme="majorHAnsi" w:hAnsiTheme="majorHAnsi" w:cs="Arial"/>
          <w:szCs w:val="26"/>
        </w:rPr>
        <w:t xml:space="preserve">and suggested </w:t>
      </w:r>
      <w:r w:rsidR="00160699">
        <w:rPr>
          <w:rFonts w:asciiTheme="majorHAnsi" w:hAnsiTheme="majorHAnsi" w:cs="Arial"/>
          <w:szCs w:val="26"/>
        </w:rPr>
        <w:t xml:space="preserve">that </w:t>
      </w:r>
      <w:r w:rsidR="00881AA6" w:rsidRPr="009578E0">
        <w:rPr>
          <w:rFonts w:asciiTheme="majorHAnsi" w:hAnsiTheme="majorHAnsi" w:cs="Arial"/>
          <w:szCs w:val="26"/>
        </w:rPr>
        <w:t>a ‘sunset clause for prior qualifications</w:t>
      </w:r>
      <w:r w:rsidR="007F595F">
        <w:rPr>
          <w:rFonts w:asciiTheme="majorHAnsi" w:hAnsiTheme="majorHAnsi" w:cs="Arial"/>
          <w:szCs w:val="26"/>
        </w:rPr>
        <w:t xml:space="preserve">’ be adopted to </w:t>
      </w:r>
      <w:r w:rsidR="00160699">
        <w:rPr>
          <w:rFonts w:asciiTheme="majorHAnsi" w:hAnsiTheme="majorHAnsi" w:cs="Arial"/>
          <w:szCs w:val="26"/>
        </w:rPr>
        <w:t xml:space="preserve">make the criteria more flexible. </w:t>
      </w:r>
    </w:p>
    <w:p w14:paraId="036EC3A4" w14:textId="77777777" w:rsidR="002C0E6B" w:rsidRDefault="002C0E6B" w:rsidP="009D10A9">
      <w:pPr>
        <w:jc w:val="both"/>
        <w:rPr>
          <w:rFonts w:asciiTheme="majorHAnsi" w:hAnsiTheme="majorHAnsi" w:cs="Arial"/>
          <w:szCs w:val="26"/>
        </w:rPr>
      </w:pPr>
    </w:p>
    <w:p w14:paraId="4B541330" w14:textId="36947EC7" w:rsidR="009D10A9" w:rsidRDefault="00881AA6" w:rsidP="009D10A9">
      <w:pPr>
        <w:jc w:val="both"/>
        <w:rPr>
          <w:rFonts w:asciiTheme="majorHAnsi" w:hAnsiTheme="majorHAnsi" w:cs="Arial"/>
          <w:szCs w:val="26"/>
        </w:rPr>
      </w:pPr>
      <w:r w:rsidRPr="009578E0">
        <w:rPr>
          <w:rFonts w:asciiTheme="majorHAnsi" w:hAnsiTheme="majorHAnsi" w:cs="Arial"/>
          <w:szCs w:val="26"/>
        </w:rPr>
        <w:t xml:space="preserve">Many </w:t>
      </w:r>
      <w:r w:rsidR="00B83500">
        <w:rPr>
          <w:rFonts w:asciiTheme="majorHAnsi" w:hAnsiTheme="majorHAnsi" w:cs="Arial"/>
          <w:szCs w:val="26"/>
        </w:rPr>
        <w:t xml:space="preserve">other </w:t>
      </w:r>
      <w:r w:rsidR="002C0E6B">
        <w:rPr>
          <w:rFonts w:asciiTheme="majorHAnsi" w:hAnsiTheme="majorHAnsi" w:cs="Arial"/>
          <w:szCs w:val="26"/>
        </w:rPr>
        <w:t xml:space="preserve">industry </w:t>
      </w:r>
      <w:r w:rsidRPr="009578E0">
        <w:rPr>
          <w:rFonts w:asciiTheme="majorHAnsi" w:hAnsiTheme="majorHAnsi" w:cs="Arial"/>
          <w:szCs w:val="26"/>
        </w:rPr>
        <w:t xml:space="preserve">submissions were concerned that apprenticeships </w:t>
      </w:r>
      <w:r w:rsidR="00160699">
        <w:rPr>
          <w:rFonts w:asciiTheme="majorHAnsi" w:hAnsiTheme="majorHAnsi" w:cs="Arial"/>
          <w:szCs w:val="26"/>
        </w:rPr>
        <w:t xml:space="preserve">should </w:t>
      </w:r>
      <w:r w:rsidRPr="009578E0">
        <w:rPr>
          <w:rFonts w:asciiTheme="majorHAnsi" w:hAnsiTheme="majorHAnsi" w:cs="Arial"/>
          <w:szCs w:val="26"/>
        </w:rPr>
        <w:t xml:space="preserve">be protected and that better incentives put in place for priority skill areas. </w:t>
      </w:r>
      <w:r w:rsidR="009D10A9">
        <w:rPr>
          <w:rFonts w:asciiTheme="majorHAnsi" w:hAnsiTheme="majorHAnsi" w:cs="Arial"/>
          <w:szCs w:val="26"/>
        </w:rPr>
        <w:t xml:space="preserve">One industry submission by an enterprise that is also an RTO expressed dismay they had to charge their </w:t>
      </w:r>
      <w:r w:rsidR="00160699">
        <w:rPr>
          <w:rFonts w:asciiTheme="majorHAnsi" w:hAnsiTheme="majorHAnsi" w:cs="Arial"/>
          <w:szCs w:val="26"/>
        </w:rPr>
        <w:t xml:space="preserve">own </w:t>
      </w:r>
      <w:r w:rsidR="009D10A9">
        <w:rPr>
          <w:rFonts w:asciiTheme="majorHAnsi" w:hAnsiTheme="majorHAnsi" w:cs="Arial"/>
          <w:szCs w:val="26"/>
        </w:rPr>
        <w:t>employees a fee and seemed perplexed by such a fees and fund</w:t>
      </w:r>
      <w:r w:rsidR="00A5100E">
        <w:rPr>
          <w:rFonts w:asciiTheme="majorHAnsi" w:hAnsiTheme="majorHAnsi" w:cs="Arial"/>
          <w:szCs w:val="26"/>
        </w:rPr>
        <w:t>ing system. Industry was also c</w:t>
      </w:r>
      <w:r w:rsidR="009D10A9">
        <w:rPr>
          <w:rFonts w:asciiTheme="majorHAnsi" w:hAnsiTheme="majorHAnsi" w:cs="Arial"/>
          <w:szCs w:val="26"/>
        </w:rPr>
        <w:t xml:space="preserve">oncerned with the impact of fees on pre-apprenticeships, school based apprenticeships and VET in schools. </w:t>
      </w:r>
    </w:p>
    <w:p w14:paraId="73710382" w14:textId="77777777" w:rsidR="00881AA6" w:rsidRPr="009578E0" w:rsidRDefault="00881AA6" w:rsidP="009D10A9">
      <w:pPr>
        <w:jc w:val="both"/>
        <w:rPr>
          <w:rFonts w:asciiTheme="majorHAnsi" w:hAnsiTheme="majorHAnsi" w:cs="Arial"/>
          <w:szCs w:val="26"/>
        </w:rPr>
      </w:pPr>
    </w:p>
    <w:p w14:paraId="51A081B8" w14:textId="77777777" w:rsidR="002267E5" w:rsidRDefault="007F595F" w:rsidP="002267E5">
      <w:pPr>
        <w:jc w:val="both"/>
        <w:rPr>
          <w:rFonts w:asciiTheme="majorHAnsi" w:hAnsiTheme="majorHAnsi" w:cs="Arial"/>
          <w:szCs w:val="26"/>
        </w:rPr>
      </w:pPr>
      <w:r>
        <w:rPr>
          <w:rFonts w:asciiTheme="majorHAnsi" w:hAnsiTheme="majorHAnsi" w:cs="Arial"/>
          <w:szCs w:val="26"/>
        </w:rPr>
        <w:t xml:space="preserve">A </w:t>
      </w:r>
      <w:r w:rsidRPr="009578E0">
        <w:rPr>
          <w:rFonts w:asciiTheme="majorHAnsi" w:hAnsiTheme="majorHAnsi" w:cs="Arial"/>
          <w:szCs w:val="26"/>
        </w:rPr>
        <w:t>metropolitan</w:t>
      </w:r>
      <w:r w:rsidR="00BF530E" w:rsidRPr="009578E0">
        <w:rPr>
          <w:rFonts w:asciiTheme="majorHAnsi" w:hAnsiTheme="majorHAnsi" w:cs="Arial"/>
          <w:szCs w:val="26"/>
        </w:rPr>
        <w:t xml:space="preserve"> TAFE</w:t>
      </w:r>
      <w:r w:rsidR="00881AA6" w:rsidRPr="009578E0">
        <w:rPr>
          <w:rFonts w:asciiTheme="majorHAnsi" w:hAnsiTheme="majorHAnsi" w:cs="Arial"/>
          <w:szCs w:val="26"/>
        </w:rPr>
        <w:t xml:space="preserve"> in its submission argued that</w:t>
      </w:r>
      <w:r w:rsidR="00BF530E" w:rsidRPr="009578E0">
        <w:rPr>
          <w:rFonts w:asciiTheme="majorHAnsi" w:hAnsiTheme="majorHAnsi" w:cs="Arial"/>
          <w:szCs w:val="26"/>
        </w:rPr>
        <w:t>, “</w:t>
      </w:r>
      <w:r w:rsidR="00881AA6" w:rsidRPr="009578E0">
        <w:rPr>
          <w:rFonts w:asciiTheme="majorHAnsi" w:hAnsiTheme="majorHAnsi" w:cs="Arial"/>
          <w:szCs w:val="26"/>
        </w:rPr>
        <w:t>The funding model should encourage cooperat</w:t>
      </w:r>
      <w:r w:rsidR="00BF530E" w:rsidRPr="009578E0">
        <w:rPr>
          <w:rFonts w:asciiTheme="majorHAnsi" w:hAnsiTheme="majorHAnsi" w:cs="Arial"/>
          <w:szCs w:val="26"/>
        </w:rPr>
        <w:t xml:space="preserve">ion and regional participation </w:t>
      </w:r>
      <w:r w:rsidR="00881AA6" w:rsidRPr="009578E0">
        <w:rPr>
          <w:rFonts w:asciiTheme="majorHAnsi" w:hAnsiTheme="majorHAnsi" w:cs="Arial"/>
          <w:szCs w:val="26"/>
        </w:rPr>
        <w:t>and c</w:t>
      </w:r>
      <w:r w:rsidR="00BF530E" w:rsidRPr="009578E0">
        <w:rPr>
          <w:rFonts w:asciiTheme="majorHAnsi" w:hAnsiTheme="majorHAnsi" w:cs="Arial"/>
          <w:szCs w:val="26"/>
        </w:rPr>
        <w:t>o</w:t>
      </w:r>
      <w:r w:rsidR="00881AA6" w:rsidRPr="009578E0">
        <w:rPr>
          <w:rFonts w:asciiTheme="majorHAnsi" w:hAnsiTheme="majorHAnsi" w:cs="Arial"/>
          <w:szCs w:val="26"/>
        </w:rPr>
        <w:t>mpetition based upon quality of outputs</w:t>
      </w:r>
      <w:r w:rsidR="004F40D4">
        <w:rPr>
          <w:rFonts w:asciiTheme="majorHAnsi" w:hAnsiTheme="majorHAnsi" w:cs="Arial"/>
          <w:szCs w:val="26"/>
        </w:rPr>
        <w:t xml:space="preserve"> </w:t>
      </w:r>
      <w:r>
        <w:rPr>
          <w:rFonts w:asciiTheme="majorHAnsi" w:hAnsiTheme="majorHAnsi" w:cs="Arial"/>
          <w:szCs w:val="26"/>
        </w:rPr>
        <w:t>(Holmesglen)</w:t>
      </w:r>
      <w:r w:rsidR="004F40D4">
        <w:rPr>
          <w:rFonts w:asciiTheme="majorHAnsi" w:hAnsiTheme="majorHAnsi" w:cs="Arial"/>
          <w:szCs w:val="26"/>
        </w:rPr>
        <w:t>”</w:t>
      </w:r>
      <w:r>
        <w:rPr>
          <w:rFonts w:asciiTheme="majorHAnsi" w:hAnsiTheme="majorHAnsi" w:cs="Arial"/>
          <w:szCs w:val="26"/>
        </w:rPr>
        <w:t>.</w:t>
      </w:r>
      <w:r w:rsidR="002267E5">
        <w:rPr>
          <w:rFonts w:asciiTheme="majorHAnsi" w:hAnsiTheme="majorHAnsi" w:cs="Arial"/>
          <w:szCs w:val="26"/>
        </w:rPr>
        <w:t xml:space="preserve"> </w:t>
      </w:r>
      <w:r w:rsidR="00BF530E" w:rsidRPr="009578E0">
        <w:rPr>
          <w:rFonts w:asciiTheme="majorHAnsi" w:hAnsiTheme="majorHAnsi" w:cs="Arial"/>
          <w:szCs w:val="26"/>
        </w:rPr>
        <w:t>Many of the TAFE</w:t>
      </w:r>
      <w:r w:rsidR="00881AA6" w:rsidRPr="009578E0">
        <w:rPr>
          <w:rFonts w:asciiTheme="majorHAnsi" w:hAnsiTheme="majorHAnsi" w:cs="Arial"/>
          <w:szCs w:val="26"/>
        </w:rPr>
        <w:t xml:space="preserve"> submissions considered the VTG a “bo</w:t>
      </w:r>
      <w:r w:rsidR="00BF530E" w:rsidRPr="009578E0">
        <w:rPr>
          <w:rFonts w:asciiTheme="majorHAnsi" w:hAnsiTheme="majorHAnsi" w:cs="Arial"/>
          <w:szCs w:val="26"/>
        </w:rPr>
        <w:t>ld experim</w:t>
      </w:r>
      <w:r w:rsidR="00881AA6" w:rsidRPr="009578E0">
        <w:rPr>
          <w:rFonts w:asciiTheme="majorHAnsi" w:hAnsiTheme="majorHAnsi" w:cs="Arial"/>
          <w:szCs w:val="26"/>
        </w:rPr>
        <w:t>e</w:t>
      </w:r>
      <w:r w:rsidR="00BF530E" w:rsidRPr="009578E0">
        <w:rPr>
          <w:rFonts w:asciiTheme="majorHAnsi" w:hAnsiTheme="majorHAnsi" w:cs="Arial"/>
          <w:szCs w:val="26"/>
        </w:rPr>
        <w:t>n</w:t>
      </w:r>
      <w:r w:rsidR="00881AA6" w:rsidRPr="009578E0">
        <w:rPr>
          <w:rFonts w:asciiTheme="majorHAnsi" w:hAnsiTheme="majorHAnsi" w:cs="Arial"/>
          <w:szCs w:val="26"/>
        </w:rPr>
        <w:t>t</w:t>
      </w:r>
      <w:r>
        <w:rPr>
          <w:rFonts w:asciiTheme="majorHAnsi" w:hAnsiTheme="majorHAnsi" w:cs="Arial"/>
          <w:szCs w:val="26"/>
        </w:rPr>
        <w:t>”</w:t>
      </w:r>
      <w:r w:rsidR="00881AA6" w:rsidRPr="009578E0">
        <w:rPr>
          <w:rFonts w:asciiTheme="majorHAnsi" w:hAnsiTheme="majorHAnsi" w:cs="Arial"/>
          <w:szCs w:val="26"/>
        </w:rPr>
        <w:t xml:space="preserve"> that may result</w:t>
      </w:r>
      <w:r>
        <w:rPr>
          <w:rFonts w:asciiTheme="majorHAnsi" w:hAnsiTheme="majorHAnsi" w:cs="Arial"/>
          <w:szCs w:val="26"/>
        </w:rPr>
        <w:t xml:space="preserve"> </w:t>
      </w:r>
      <w:r w:rsidR="00881AA6" w:rsidRPr="009578E0">
        <w:rPr>
          <w:rFonts w:asciiTheme="majorHAnsi" w:hAnsiTheme="majorHAnsi" w:cs="Arial"/>
          <w:szCs w:val="26"/>
        </w:rPr>
        <w:t>in jeopardising the viability of skills education and training</w:t>
      </w:r>
      <w:r w:rsidR="00BF530E" w:rsidRPr="009578E0">
        <w:rPr>
          <w:rFonts w:asciiTheme="majorHAnsi" w:hAnsiTheme="majorHAnsi" w:cs="Arial"/>
          <w:szCs w:val="26"/>
        </w:rPr>
        <w:t xml:space="preserve"> by deterring </w:t>
      </w:r>
      <w:r>
        <w:rPr>
          <w:rFonts w:asciiTheme="majorHAnsi" w:hAnsiTheme="majorHAnsi" w:cs="Arial"/>
          <w:szCs w:val="26"/>
        </w:rPr>
        <w:t xml:space="preserve">prospective </w:t>
      </w:r>
      <w:r w:rsidR="00BF530E" w:rsidRPr="009578E0">
        <w:rPr>
          <w:rFonts w:asciiTheme="majorHAnsi" w:hAnsiTheme="majorHAnsi" w:cs="Arial"/>
          <w:szCs w:val="26"/>
        </w:rPr>
        <w:t xml:space="preserve">students. Many TAFE </w:t>
      </w:r>
      <w:r>
        <w:rPr>
          <w:rFonts w:asciiTheme="majorHAnsi" w:hAnsiTheme="majorHAnsi" w:cs="Arial"/>
          <w:szCs w:val="26"/>
        </w:rPr>
        <w:t xml:space="preserve">submissions </w:t>
      </w:r>
      <w:r w:rsidR="00BF530E" w:rsidRPr="009578E0">
        <w:rPr>
          <w:rFonts w:asciiTheme="majorHAnsi" w:hAnsiTheme="majorHAnsi" w:cs="Arial"/>
          <w:szCs w:val="26"/>
        </w:rPr>
        <w:t xml:space="preserve">reported a decrease in their enrolments because of the fee increases. One TAFE explained that the funding of training did not reflect the true cost of training. While another TAFE submission argued there was a need </w:t>
      </w:r>
      <w:r w:rsidR="00160699">
        <w:rPr>
          <w:rFonts w:asciiTheme="majorHAnsi" w:hAnsiTheme="majorHAnsi" w:cs="Arial"/>
          <w:szCs w:val="26"/>
        </w:rPr>
        <w:t xml:space="preserve">for </w:t>
      </w:r>
      <w:r w:rsidR="00BF530E" w:rsidRPr="009578E0">
        <w:rPr>
          <w:rFonts w:asciiTheme="majorHAnsi" w:hAnsiTheme="majorHAnsi" w:cs="Arial"/>
          <w:szCs w:val="26"/>
        </w:rPr>
        <w:t>investment in training from industry and employer</w:t>
      </w:r>
      <w:r>
        <w:rPr>
          <w:rFonts w:asciiTheme="majorHAnsi" w:hAnsiTheme="majorHAnsi" w:cs="Arial"/>
          <w:szCs w:val="26"/>
        </w:rPr>
        <w:t>s</w:t>
      </w:r>
      <w:r w:rsidR="00A5100E">
        <w:rPr>
          <w:rFonts w:asciiTheme="majorHAnsi" w:hAnsiTheme="majorHAnsi" w:cs="Arial"/>
          <w:szCs w:val="26"/>
        </w:rPr>
        <w:t xml:space="preserve"> </w:t>
      </w:r>
      <w:r w:rsidR="00BF530E" w:rsidRPr="009578E0">
        <w:rPr>
          <w:rFonts w:asciiTheme="majorHAnsi" w:hAnsiTheme="majorHAnsi" w:cs="Arial"/>
          <w:szCs w:val="26"/>
        </w:rPr>
        <w:t xml:space="preserve">and not just </w:t>
      </w:r>
      <w:r w:rsidR="00160699">
        <w:rPr>
          <w:rFonts w:asciiTheme="majorHAnsi" w:hAnsiTheme="majorHAnsi" w:cs="Arial"/>
          <w:szCs w:val="26"/>
        </w:rPr>
        <w:t xml:space="preserve">the present focus on </w:t>
      </w:r>
      <w:r w:rsidR="00BF530E" w:rsidRPr="009578E0">
        <w:rPr>
          <w:rFonts w:asciiTheme="majorHAnsi" w:hAnsiTheme="majorHAnsi" w:cs="Arial"/>
          <w:szCs w:val="26"/>
        </w:rPr>
        <w:t xml:space="preserve">increasing student contributions. </w:t>
      </w:r>
      <w:r w:rsidR="004F40D4">
        <w:rPr>
          <w:rFonts w:asciiTheme="majorHAnsi" w:hAnsiTheme="majorHAnsi" w:cs="Arial"/>
          <w:szCs w:val="26"/>
        </w:rPr>
        <w:t xml:space="preserve"> </w:t>
      </w:r>
    </w:p>
    <w:p w14:paraId="159D547A" w14:textId="77777777" w:rsidR="002267E5" w:rsidRDefault="002267E5" w:rsidP="002267E5">
      <w:pPr>
        <w:rPr>
          <w:rFonts w:asciiTheme="majorHAnsi" w:hAnsiTheme="majorHAnsi" w:cs="Arial"/>
          <w:szCs w:val="26"/>
        </w:rPr>
      </w:pPr>
    </w:p>
    <w:p w14:paraId="4FBE7D9F" w14:textId="77777777" w:rsidR="007F62FD" w:rsidRPr="009578E0" w:rsidRDefault="002267E5" w:rsidP="002267E5">
      <w:pPr>
        <w:jc w:val="both"/>
        <w:rPr>
          <w:rFonts w:asciiTheme="majorHAnsi" w:hAnsiTheme="majorHAnsi" w:cs="Arial"/>
          <w:szCs w:val="26"/>
        </w:rPr>
      </w:pPr>
      <w:r>
        <w:rPr>
          <w:rFonts w:asciiTheme="majorHAnsi" w:hAnsiTheme="majorHAnsi" w:cs="Arial"/>
          <w:szCs w:val="26"/>
        </w:rPr>
        <w:t>Norther</w:t>
      </w:r>
      <w:r w:rsidR="00244DDD">
        <w:rPr>
          <w:rFonts w:asciiTheme="majorHAnsi" w:hAnsiTheme="majorHAnsi" w:cs="Arial"/>
          <w:szCs w:val="26"/>
        </w:rPr>
        <w:t>n</w:t>
      </w:r>
      <w:r>
        <w:rPr>
          <w:rFonts w:asciiTheme="majorHAnsi" w:hAnsiTheme="majorHAnsi" w:cs="Arial"/>
          <w:szCs w:val="26"/>
        </w:rPr>
        <w:t xml:space="preserve"> Melbourne </w:t>
      </w:r>
      <w:r w:rsidR="00244DDD">
        <w:rPr>
          <w:rFonts w:asciiTheme="majorHAnsi" w:hAnsiTheme="majorHAnsi" w:cs="Arial"/>
          <w:szCs w:val="26"/>
        </w:rPr>
        <w:t>Institute</w:t>
      </w:r>
      <w:r>
        <w:rPr>
          <w:rFonts w:asciiTheme="majorHAnsi" w:hAnsiTheme="majorHAnsi" w:cs="Arial"/>
          <w:szCs w:val="26"/>
        </w:rPr>
        <w:t xml:space="preserve"> of TAFE </w:t>
      </w:r>
      <w:r w:rsidR="004F40D4">
        <w:rPr>
          <w:rFonts w:asciiTheme="majorHAnsi" w:hAnsiTheme="majorHAnsi" w:cs="Arial"/>
          <w:szCs w:val="26"/>
        </w:rPr>
        <w:t xml:space="preserve">(NMIT) </w:t>
      </w:r>
      <w:r>
        <w:rPr>
          <w:rFonts w:asciiTheme="majorHAnsi" w:hAnsiTheme="majorHAnsi" w:cs="Arial"/>
          <w:szCs w:val="26"/>
        </w:rPr>
        <w:t>made a strident submission arguing that, “</w:t>
      </w:r>
      <w:r w:rsidRPr="002267E5">
        <w:rPr>
          <w:rFonts w:asciiTheme="majorHAnsi" w:hAnsiTheme="majorHAnsi" w:cs="Arial"/>
          <w:szCs w:val="26"/>
        </w:rPr>
        <w:t xml:space="preserve">the Skills Reform policy is a thinly disguised initiative to increase statistical VET participation across Victoria, regardless of training quality and integrity, and delivered at times on a user pays/cost recovery basis, regardless of the training requirements of industry and the needs of individuals across the life span. NMIT believed from the outset that this was an attempt to largely privatise the VET system by stealth based on unproven and spurious assumptions. </w:t>
      </w:r>
    </w:p>
    <w:p w14:paraId="59E62A88" w14:textId="77777777" w:rsidR="00BF530E" w:rsidRPr="009578E0" w:rsidRDefault="007F62FD" w:rsidP="009578E0">
      <w:pPr>
        <w:ind w:firstLine="720"/>
        <w:rPr>
          <w:rFonts w:asciiTheme="majorHAnsi" w:hAnsiTheme="majorHAnsi" w:cs="Arial"/>
          <w:szCs w:val="26"/>
        </w:rPr>
      </w:pPr>
      <w:r w:rsidRPr="009578E0">
        <w:rPr>
          <w:rFonts w:asciiTheme="majorHAnsi" w:hAnsiTheme="majorHAnsi" w:cs="Arial"/>
          <w:szCs w:val="26"/>
        </w:rPr>
        <w:tab/>
      </w:r>
    </w:p>
    <w:p w14:paraId="6DFA8137" w14:textId="77777777" w:rsidR="00731147" w:rsidRDefault="00731147" w:rsidP="00EB3404">
      <w:pPr>
        <w:jc w:val="both"/>
        <w:rPr>
          <w:rFonts w:asciiTheme="majorHAnsi" w:hAnsiTheme="majorHAnsi" w:cs="Arial"/>
          <w:szCs w:val="26"/>
        </w:rPr>
      </w:pPr>
      <w:r>
        <w:rPr>
          <w:rFonts w:asciiTheme="majorHAnsi" w:hAnsiTheme="majorHAnsi" w:cs="Arial"/>
          <w:szCs w:val="26"/>
        </w:rPr>
        <w:t>Nine individual submissions were made and several of these submissions were from teachers from ACE, TAFE together with students and one from a policy analyst and education journalist and commentator.  One student expressed concern about fees and argued in an exasperation,</w:t>
      </w:r>
    </w:p>
    <w:p w14:paraId="3E3C04B4" w14:textId="77777777" w:rsidR="00731147" w:rsidRDefault="00731147" w:rsidP="00EB3404">
      <w:pPr>
        <w:jc w:val="both"/>
        <w:rPr>
          <w:rFonts w:asciiTheme="majorHAnsi" w:hAnsiTheme="majorHAnsi" w:cs="Arial"/>
          <w:szCs w:val="26"/>
        </w:rPr>
      </w:pPr>
      <w:r>
        <w:rPr>
          <w:rFonts w:asciiTheme="majorHAnsi" w:hAnsiTheme="majorHAnsi" w:cs="Arial"/>
          <w:szCs w:val="26"/>
        </w:rPr>
        <w:tab/>
        <w:t xml:space="preserve"> </w:t>
      </w:r>
      <w:r w:rsidRPr="00731147">
        <w:rPr>
          <w:rFonts w:asciiTheme="majorHAnsi" w:hAnsiTheme="majorHAnsi" w:cs="Arial"/>
          <w:szCs w:val="26"/>
        </w:rPr>
        <w:t xml:space="preserve">If the Government makes it so hard for lower class young people to get an </w:t>
      </w:r>
      <w:r>
        <w:rPr>
          <w:rFonts w:asciiTheme="majorHAnsi" w:hAnsiTheme="majorHAnsi" w:cs="Arial"/>
          <w:szCs w:val="26"/>
        </w:rPr>
        <w:tab/>
      </w:r>
      <w:r w:rsidRPr="00731147">
        <w:rPr>
          <w:rFonts w:asciiTheme="majorHAnsi" w:hAnsiTheme="majorHAnsi" w:cs="Arial"/>
          <w:szCs w:val="26"/>
        </w:rPr>
        <w:t xml:space="preserve">education most of us will end up relying on the government for the rest of </w:t>
      </w:r>
      <w:r>
        <w:rPr>
          <w:rFonts w:asciiTheme="majorHAnsi" w:hAnsiTheme="majorHAnsi" w:cs="Arial"/>
          <w:szCs w:val="26"/>
        </w:rPr>
        <w:tab/>
      </w:r>
      <w:r w:rsidRPr="00731147">
        <w:rPr>
          <w:rFonts w:asciiTheme="majorHAnsi" w:hAnsiTheme="majorHAnsi" w:cs="Arial"/>
          <w:szCs w:val="26"/>
        </w:rPr>
        <w:t>our lives</w:t>
      </w:r>
      <w:r>
        <w:rPr>
          <w:rFonts w:asciiTheme="majorHAnsi" w:hAnsiTheme="majorHAnsi" w:cs="Arial"/>
          <w:szCs w:val="26"/>
        </w:rPr>
        <w:t xml:space="preserve"> (Erin Adams)</w:t>
      </w:r>
      <w:r w:rsidRPr="00731147">
        <w:rPr>
          <w:rFonts w:asciiTheme="majorHAnsi" w:hAnsiTheme="majorHAnsi" w:cs="Arial"/>
          <w:szCs w:val="26"/>
        </w:rPr>
        <w:t>.</w:t>
      </w:r>
    </w:p>
    <w:p w14:paraId="1F8D529F" w14:textId="77777777" w:rsidR="00731147" w:rsidRDefault="00731147" w:rsidP="00EB3404">
      <w:pPr>
        <w:jc w:val="both"/>
        <w:rPr>
          <w:rFonts w:asciiTheme="majorHAnsi" w:hAnsiTheme="majorHAnsi" w:cs="Arial"/>
          <w:szCs w:val="26"/>
        </w:rPr>
      </w:pPr>
      <w:r>
        <w:rPr>
          <w:rFonts w:asciiTheme="majorHAnsi" w:hAnsiTheme="majorHAnsi" w:cs="Arial"/>
          <w:szCs w:val="26"/>
        </w:rPr>
        <w:t>An individual teacher</w:t>
      </w:r>
      <w:r w:rsidR="00160699">
        <w:rPr>
          <w:rFonts w:asciiTheme="majorHAnsi" w:hAnsiTheme="majorHAnsi" w:cs="Arial"/>
          <w:szCs w:val="26"/>
        </w:rPr>
        <w:t>’s</w:t>
      </w:r>
      <w:r>
        <w:rPr>
          <w:rFonts w:asciiTheme="majorHAnsi" w:hAnsiTheme="majorHAnsi" w:cs="Arial"/>
          <w:szCs w:val="26"/>
        </w:rPr>
        <w:t xml:space="preserve"> submission was equally concerned and wrote that the funding and fees structured that make up the VTG were not logical. The s</w:t>
      </w:r>
      <w:r w:rsidR="00A5100E">
        <w:rPr>
          <w:rFonts w:asciiTheme="majorHAnsi" w:hAnsiTheme="majorHAnsi" w:cs="Arial"/>
          <w:szCs w:val="26"/>
        </w:rPr>
        <w:t xml:space="preserve">ubmission requested a need for </w:t>
      </w:r>
      <w:r w:rsidR="00160699">
        <w:rPr>
          <w:rFonts w:asciiTheme="majorHAnsi" w:hAnsiTheme="majorHAnsi" w:cs="Arial"/>
          <w:szCs w:val="26"/>
        </w:rPr>
        <w:t>better-informed</w:t>
      </w:r>
      <w:r>
        <w:rPr>
          <w:rFonts w:asciiTheme="majorHAnsi" w:hAnsiTheme="majorHAnsi" w:cs="Arial"/>
          <w:szCs w:val="26"/>
        </w:rPr>
        <w:t xml:space="preserve"> policy or market design.  </w:t>
      </w:r>
    </w:p>
    <w:p w14:paraId="0BA76074" w14:textId="77777777" w:rsidR="00731147" w:rsidRDefault="004F40D4" w:rsidP="00EB3404">
      <w:pPr>
        <w:ind w:left="720"/>
        <w:jc w:val="both"/>
        <w:rPr>
          <w:rFonts w:asciiTheme="majorHAnsi" w:hAnsiTheme="majorHAnsi" w:cs="Arial"/>
          <w:szCs w:val="26"/>
        </w:rPr>
      </w:pPr>
      <w:r>
        <w:rPr>
          <w:rFonts w:asciiTheme="majorHAnsi" w:hAnsiTheme="majorHAnsi" w:cs="Arial"/>
          <w:szCs w:val="26"/>
        </w:rPr>
        <w:t>“</w:t>
      </w:r>
      <w:r w:rsidR="00731147" w:rsidRPr="00731147">
        <w:rPr>
          <w:rFonts w:asciiTheme="majorHAnsi" w:hAnsiTheme="majorHAnsi" w:cs="Arial"/>
          <w:szCs w:val="26"/>
        </w:rPr>
        <w:t>I suggest that people making funding decisions need to come out and see what we do and talk to us about how we can put a better system in place where we are able to focus on the quality of our training rather than trying to make our training match an ill conceived funding model. I would also like to spend more time with each student than dotting i’s and crossing T’s because someone doesn’t trust that we are doing our</w:t>
      </w:r>
      <w:r w:rsidR="00A5100E">
        <w:rPr>
          <w:rFonts w:asciiTheme="majorHAnsi" w:hAnsiTheme="majorHAnsi" w:cs="Arial"/>
          <w:szCs w:val="26"/>
        </w:rPr>
        <w:t xml:space="preserve"> job</w:t>
      </w:r>
      <w:r w:rsidR="00F24A38">
        <w:rPr>
          <w:rFonts w:asciiTheme="majorHAnsi" w:hAnsiTheme="majorHAnsi" w:cs="Arial"/>
          <w:szCs w:val="26"/>
        </w:rPr>
        <w:t xml:space="preserve"> </w:t>
      </w:r>
      <w:r w:rsidR="00A5100E">
        <w:rPr>
          <w:rFonts w:asciiTheme="majorHAnsi" w:hAnsiTheme="majorHAnsi" w:cs="Arial"/>
          <w:szCs w:val="26"/>
        </w:rPr>
        <w:t>(Russe</w:t>
      </w:r>
      <w:r>
        <w:rPr>
          <w:rFonts w:asciiTheme="majorHAnsi" w:hAnsiTheme="majorHAnsi" w:cs="Arial"/>
          <w:szCs w:val="26"/>
        </w:rPr>
        <w:t>l</w:t>
      </w:r>
      <w:r w:rsidR="00A5100E">
        <w:rPr>
          <w:rFonts w:asciiTheme="majorHAnsi" w:hAnsiTheme="majorHAnsi" w:cs="Arial"/>
          <w:szCs w:val="26"/>
        </w:rPr>
        <w:t>l Masterson)</w:t>
      </w:r>
      <w:r>
        <w:rPr>
          <w:rFonts w:asciiTheme="majorHAnsi" w:hAnsiTheme="majorHAnsi" w:cs="Arial"/>
          <w:szCs w:val="26"/>
        </w:rPr>
        <w:t>”</w:t>
      </w:r>
      <w:r w:rsidR="00A5100E">
        <w:rPr>
          <w:rFonts w:asciiTheme="majorHAnsi" w:hAnsiTheme="majorHAnsi" w:cs="Arial"/>
          <w:szCs w:val="26"/>
        </w:rPr>
        <w:t>.</w:t>
      </w:r>
    </w:p>
    <w:p w14:paraId="2F2BE895" w14:textId="77777777" w:rsidR="009D10A9" w:rsidRDefault="009D10A9" w:rsidP="00570190">
      <w:pPr>
        <w:rPr>
          <w:rFonts w:asciiTheme="majorHAnsi" w:hAnsiTheme="majorHAnsi" w:cs="Arial"/>
          <w:szCs w:val="26"/>
        </w:rPr>
      </w:pPr>
    </w:p>
    <w:p w14:paraId="42865693" w14:textId="77777777" w:rsidR="009D10A9" w:rsidRDefault="009D10A9" w:rsidP="00EB3404">
      <w:pPr>
        <w:jc w:val="both"/>
        <w:rPr>
          <w:rFonts w:asciiTheme="majorHAnsi" w:hAnsiTheme="majorHAnsi" w:cs="Arial"/>
          <w:szCs w:val="26"/>
        </w:rPr>
      </w:pPr>
      <w:r>
        <w:rPr>
          <w:rFonts w:asciiTheme="majorHAnsi" w:hAnsiTheme="majorHAnsi" w:cs="Arial"/>
          <w:szCs w:val="26"/>
        </w:rPr>
        <w:t xml:space="preserve">Submissions from private RTO equally critiqued the restrictive nature of the eligibility criteria and the equivalence between senior secondary certificates of education with a Certificate II. Both these points were the basis for </w:t>
      </w:r>
      <w:r w:rsidR="00EB3404">
        <w:rPr>
          <w:rFonts w:asciiTheme="majorHAnsi" w:hAnsiTheme="majorHAnsi" w:cs="Arial"/>
          <w:szCs w:val="26"/>
        </w:rPr>
        <w:t>claiming that</w:t>
      </w:r>
      <w:r>
        <w:rPr>
          <w:rFonts w:asciiTheme="majorHAnsi" w:hAnsiTheme="majorHAnsi" w:cs="Arial"/>
          <w:szCs w:val="26"/>
        </w:rPr>
        <w:t xml:space="preserve"> </w:t>
      </w:r>
      <w:r w:rsidR="00A5100E">
        <w:rPr>
          <w:rFonts w:asciiTheme="majorHAnsi" w:hAnsiTheme="majorHAnsi" w:cs="Arial"/>
          <w:szCs w:val="26"/>
        </w:rPr>
        <w:t>the result</w:t>
      </w:r>
      <w:r>
        <w:rPr>
          <w:rFonts w:asciiTheme="majorHAnsi" w:hAnsiTheme="majorHAnsi" w:cs="Arial"/>
          <w:szCs w:val="26"/>
        </w:rPr>
        <w:t xml:space="preserve"> would be reduced access and participation. The eligibility </w:t>
      </w:r>
      <w:r w:rsidR="00A5100E">
        <w:rPr>
          <w:rFonts w:asciiTheme="majorHAnsi" w:hAnsiTheme="majorHAnsi" w:cs="Arial"/>
          <w:szCs w:val="26"/>
        </w:rPr>
        <w:t>criteria were</w:t>
      </w:r>
      <w:r>
        <w:rPr>
          <w:rFonts w:asciiTheme="majorHAnsi" w:hAnsiTheme="majorHAnsi" w:cs="Arial"/>
          <w:szCs w:val="26"/>
        </w:rPr>
        <w:t xml:space="preserve"> also critiqued on the basis of discrimination against older or mature aged workers being limited in accessing funded VET options. Private RTO’s reported an increase in enrolments from 2008 and argued for structural separation of funding allocation from public RTO’s. The submission by ACPET announced that </w:t>
      </w:r>
    </w:p>
    <w:p w14:paraId="36B412F4" w14:textId="77777777" w:rsidR="009D10A9" w:rsidRDefault="009D10A9" w:rsidP="00EB3404">
      <w:pPr>
        <w:ind w:left="720"/>
        <w:jc w:val="both"/>
        <w:rPr>
          <w:rFonts w:asciiTheme="majorHAnsi" w:hAnsiTheme="majorHAnsi" w:cs="Arial"/>
          <w:szCs w:val="26"/>
        </w:rPr>
      </w:pPr>
      <w:r>
        <w:rPr>
          <w:rFonts w:asciiTheme="majorHAnsi" w:hAnsiTheme="majorHAnsi" w:cs="Arial"/>
          <w:szCs w:val="26"/>
        </w:rPr>
        <w:t xml:space="preserve">“Private training institutions are now arguably the ‘engine room’ of the Australian training sector”. </w:t>
      </w:r>
    </w:p>
    <w:p w14:paraId="3547F468" w14:textId="77777777" w:rsidR="009D10A9" w:rsidRDefault="009D10A9" w:rsidP="00325BD2">
      <w:pPr>
        <w:jc w:val="both"/>
        <w:rPr>
          <w:rFonts w:asciiTheme="majorHAnsi" w:hAnsiTheme="majorHAnsi" w:cs="Arial"/>
          <w:szCs w:val="26"/>
        </w:rPr>
      </w:pPr>
      <w:r>
        <w:rPr>
          <w:rFonts w:asciiTheme="majorHAnsi" w:hAnsiTheme="majorHAnsi" w:cs="Arial"/>
          <w:szCs w:val="26"/>
        </w:rPr>
        <w:t xml:space="preserve">Such claims belie the contributions made by the ACE, TAFE, industry and </w:t>
      </w:r>
      <w:r w:rsidR="00EB3404">
        <w:rPr>
          <w:rFonts w:asciiTheme="majorHAnsi" w:hAnsiTheme="majorHAnsi" w:cs="Arial"/>
          <w:szCs w:val="26"/>
        </w:rPr>
        <w:t>enterprise aspects</w:t>
      </w:r>
      <w:r w:rsidR="00325BD2">
        <w:rPr>
          <w:rFonts w:asciiTheme="majorHAnsi" w:hAnsiTheme="majorHAnsi" w:cs="Arial"/>
          <w:szCs w:val="26"/>
        </w:rPr>
        <w:t xml:space="preserve"> of the VET market/system. </w:t>
      </w:r>
      <w:r w:rsidR="002267E5">
        <w:rPr>
          <w:rFonts w:asciiTheme="majorHAnsi" w:hAnsiTheme="majorHAnsi" w:cs="Arial"/>
          <w:szCs w:val="26"/>
        </w:rPr>
        <w:t>One submission by a</w:t>
      </w:r>
      <w:r w:rsidR="00325BD2">
        <w:rPr>
          <w:rFonts w:asciiTheme="majorHAnsi" w:hAnsiTheme="majorHAnsi" w:cs="Arial"/>
          <w:szCs w:val="26"/>
        </w:rPr>
        <w:t xml:space="preserve"> </w:t>
      </w:r>
      <w:r w:rsidR="002267E5">
        <w:rPr>
          <w:rFonts w:asciiTheme="majorHAnsi" w:hAnsiTheme="majorHAnsi" w:cs="Arial"/>
          <w:szCs w:val="26"/>
        </w:rPr>
        <w:t>private RTO argued that</w:t>
      </w:r>
      <w:r w:rsidR="00325BD2">
        <w:rPr>
          <w:rFonts w:asciiTheme="majorHAnsi" w:hAnsiTheme="majorHAnsi" w:cs="Arial"/>
          <w:szCs w:val="26"/>
        </w:rPr>
        <w:t>, “</w:t>
      </w:r>
      <w:r w:rsidR="00325BD2" w:rsidRPr="00325BD2">
        <w:rPr>
          <w:rFonts w:asciiTheme="majorHAnsi" w:hAnsiTheme="majorHAnsi" w:cs="Arial"/>
          <w:szCs w:val="26"/>
        </w:rPr>
        <w:t>the non-subsidised cost of our most popular course (Diploma of Nursing) is</w:t>
      </w:r>
      <w:r w:rsidR="00325BD2">
        <w:rPr>
          <w:rFonts w:asciiTheme="majorHAnsi" w:hAnsiTheme="majorHAnsi" w:cs="Arial"/>
          <w:szCs w:val="26"/>
        </w:rPr>
        <w:t xml:space="preserve"> “</w:t>
      </w:r>
      <w:r w:rsidR="00325BD2" w:rsidRPr="00325BD2">
        <w:rPr>
          <w:rFonts w:asciiTheme="majorHAnsi" w:hAnsiTheme="majorHAnsi" w:cs="Arial"/>
          <w:szCs w:val="26"/>
        </w:rPr>
        <w:t>beyond the reach of the majority of our potential student demographic</w:t>
      </w:r>
      <w:r w:rsidR="00325BD2">
        <w:rPr>
          <w:rFonts w:asciiTheme="majorHAnsi" w:hAnsiTheme="majorHAnsi" w:cs="Arial"/>
          <w:szCs w:val="26"/>
        </w:rPr>
        <w:t>”</w:t>
      </w:r>
      <w:r w:rsidR="00325BD2" w:rsidRPr="00325BD2">
        <w:rPr>
          <w:rFonts w:asciiTheme="majorHAnsi" w:hAnsiTheme="majorHAnsi" w:cs="Arial"/>
          <w:szCs w:val="26"/>
        </w:rPr>
        <w:t>.</w:t>
      </w:r>
      <w:r w:rsidR="00325BD2">
        <w:rPr>
          <w:rFonts w:asciiTheme="majorHAnsi" w:hAnsiTheme="majorHAnsi" w:cs="Arial"/>
          <w:szCs w:val="26"/>
        </w:rPr>
        <w:t xml:space="preserve"> </w:t>
      </w:r>
    </w:p>
    <w:p w14:paraId="2478047D" w14:textId="77777777" w:rsidR="009D10A9" w:rsidRDefault="009D10A9" w:rsidP="00570190">
      <w:pPr>
        <w:rPr>
          <w:rFonts w:asciiTheme="majorHAnsi" w:hAnsiTheme="majorHAnsi" w:cs="Arial"/>
          <w:szCs w:val="26"/>
        </w:rPr>
      </w:pPr>
    </w:p>
    <w:p w14:paraId="2B50E68F" w14:textId="5C6769F2" w:rsidR="00537B20" w:rsidRDefault="007F62FD" w:rsidP="00EB3404">
      <w:pPr>
        <w:jc w:val="both"/>
        <w:rPr>
          <w:rFonts w:asciiTheme="majorHAnsi" w:hAnsiTheme="majorHAnsi" w:cs="Arial"/>
          <w:szCs w:val="26"/>
        </w:rPr>
      </w:pPr>
      <w:r w:rsidRPr="009578E0">
        <w:rPr>
          <w:rFonts w:asciiTheme="majorHAnsi" w:hAnsiTheme="majorHAnsi" w:cs="Arial"/>
          <w:szCs w:val="26"/>
        </w:rPr>
        <w:t xml:space="preserve">Policy development processes </w:t>
      </w:r>
      <w:r w:rsidR="00F24A38">
        <w:rPr>
          <w:rFonts w:asciiTheme="majorHAnsi" w:hAnsiTheme="majorHAnsi" w:cs="Arial"/>
          <w:szCs w:val="26"/>
        </w:rPr>
        <w:t xml:space="preserve">and market design strategies in this instance </w:t>
      </w:r>
      <w:r w:rsidRPr="009578E0">
        <w:rPr>
          <w:rFonts w:asciiTheme="majorHAnsi" w:hAnsiTheme="majorHAnsi" w:cs="Arial"/>
          <w:szCs w:val="26"/>
        </w:rPr>
        <w:t xml:space="preserve">are notoriously political and different stakeholders and interest groups </w:t>
      </w:r>
      <w:r w:rsidR="00F24A38">
        <w:rPr>
          <w:rFonts w:asciiTheme="majorHAnsi" w:hAnsiTheme="majorHAnsi" w:cs="Arial"/>
          <w:szCs w:val="26"/>
        </w:rPr>
        <w:t xml:space="preserve">seek to </w:t>
      </w:r>
      <w:r w:rsidRPr="009578E0">
        <w:rPr>
          <w:rFonts w:asciiTheme="majorHAnsi" w:hAnsiTheme="majorHAnsi" w:cs="Arial"/>
          <w:szCs w:val="26"/>
        </w:rPr>
        <w:t xml:space="preserve">influence </w:t>
      </w:r>
      <w:r w:rsidR="00EB3404">
        <w:rPr>
          <w:rFonts w:asciiTheme="majorHAnsi" w:hAnsiTheme="majorHAnsi" w:cs="Arial"/>
          <w:szCs w:val="26"/>
        </w:rPr>
        <w:t xml:space="preserve">their directions </w:t>
      </w:r>
      <w:r w:rsidR="00F24A38">
        <w:rPr>
          <w:rFonts w:asciiTheme="majorHAnsi" w:hAnsiTheme="majorHAnsi" w:cs="Arial"/>
          <w:szCs w:val="26"/>
        </w:rPr>
        <w:t xml:space="preserve">through such reviews. Whether one type of provider or some sorts of student choices or industry preferences </w:t>
      </w:r>
      <w:r w:rsidR="00160699">
        <w:rPr>
          <w:rFonts w:asciiTheme="majorHAnsi" w:hAnsiTheme="majorHAnsi" w:cs="Arial"/>
          <w:szCs w:val="26"/>
        </w:rPr>
        <w:t xml:space="preserve">are </w:t>
      </w:r>
      <w:r w:rsidR="00F24A38">
        <w:rPr>
          <w:rFonts w:asciiTheme="majorHAnsi" w:hAnsiTheme="majorHAnsi" w:cs="Arial"/>
          <w:szCs w:val="26"/>
        </w:rPr>
        <w:t>more important than others</w:t>
      </w:r>
      <w:r w:rsidR="00B83500">
        <w:rPr>
          <w:rFonts w:asciiTheme="majorHAnsi" w:hAnsiTheme="majorHAnsi" w:cs="Arial"/>
          <w:szCs w:val="26"/>
        </w:rPr>
        <w:t>,</w:t>
      </w:r>
      <w:r w:rsidR="00F24A38">
        <w:rPr>
          <w:rFonts w:asciiTheme="majorHAnsi" w:hAnsiTheme="majorHAnsi" w:cs="Arial"/>
          <w:szCs w:val="26"/>
        </w:rPr>
        <w:t xml:space="preserve"> is always a matter for debate. Yet the important function of VET in offering educ</w:t>
      </w:r>
      <w:r w:rsidR="00EB3404">
        <w:rPr>
          <w:rFonts w:asciiTheme="majorHAnsi" w:hAnsiTheme="majorHAnsi" w:cs="Arial"/>
          <w:szCs w:val="26"/>
        </w:rPr>
        <w:t xml:space="preserve">ation opportunities </w:t>
      </w:r>
      <w:r w:rsidR="00F24A38">
        <w:rPr>
          <w:rFonts w:asciiTheme="majorHAnsi" w:hAnsiTheme="majorHAnsi" w:cs="Arial"/>
          <w:szCs w:val="26"/>
        </w:rPr>
        <w:t>to diverse groups of learners in</w:t>
      </w:r>
      <w:r w:rsidR="00EB3404">
        <w:rPr>
          <w:rFonts w:asciiTheme="majorHAnsi" w:hAnsiTheme="majorHAnsi" w:cs="Arial"/>
          <w:szCs w:val="26"/>
        </w:rPr>
        <w:t xml:space="preserve"> a breadth of vocational field</w:t>
      </w:r>
      <w:r w:rsidR="00160699">
        <w:rPr>
          <w:rFonts w:asciiTheme="majorHAnsi" w:hAnsiTheme="majorHAnsi" w:cs="Arial"/>
          <w:szCs w:val="26"/>
        </w:rPr>
        <w:t>s</w:t>
      </w:r>
      <w:r w:rsidR="00EB3404">
        <w:rPr>
          <w:rFonts w:asciiTheme="majorHAnsi" w:hAnsiTheme="majorHAnsi" w:cs="Arial"/>
          <w:szCs w:val="26"/>
        </w:rPr>
        <w:t xml:space="preserve"> </w:t>
      </w:r>
      <w:r w:rsidR="00F24A38">
        <w:rPr>
          <w:rFonts w:asciiTheme="majorHAnsi" w:hAnsiTheme="majorHAnsi" w:cs="Arial"/>
          <w:szCs w:val="26"/>
        </w:rPr>
        <w:t xml:space="preserve">and through a range of </w:t>
      </w:r>
      <w:r w:rsidR="00EB3404">
        <w:rPr>
          <w:rFonts w:asciiTheme="majorHAnsi" w:hAnsiTheme="majorHAnsi" w:cs="Arial"/>
          <w:szCs w:val="26"/>
        </w:rPr>
        <w:t>organis</w:t>
      </w:r>
      <w:r w:rsidR="00F24A38">
        <w:rPr>
          <w:rFonts w:asciiTheme="majorHAnsi" w:hAnsiTheme="majorHAnsi" w:cs="Arial"/>
          <w:szCs w:val="26"/>
        </w:rPr>
        <w:t xml:space="preserve">ations is central to growing </w:t>
      </w:r>
      <w:r w:rsidR="00325BD2">
        <w:rPr>
          <w:rFonts w:asciiTheme="majorHAnsi" w:hAnsiTheme="majorHAnsi" w:cs="Arial"/>
          <w:szCs w:val="26"/>
        </w:rPr>
        <w:t xml:space="preserve">the workforce skills base in Australia. </w:t>
      </w:r>
      <w:r w:rsidR="00537B20">
        <w:rPr>
          <w:rFonts w:asciiTheme="majorHAnsi" w:hAnsiTheme="majorHAnsi" w:cs="Arial"/>
          <w:szCs w:val="26"/>
        </w:rPr>
        <w:t xml:space="preserve">The submissions from the groups as presented in this paper contain important critiques of the market </w:t>
      </w:r>
      <w:r w:rsidR="00325BD2">
        <w:rPr>
          <w:rFonts w:asciiTheme="majorHAnsi" w:hAnsiTheme="majorHAnsi" w:cs="Arial"/>
          <w:szCs w:val="26"/>
        </w:rPr>
        <w:t xml:space="preserve">and its haphazard character </w:t>
      </w:r>
      <w:r w:rsidR="00537B20">
        <w:rPr>
          <w:rFonts w:asciiTheme="majorHAnsi" w:hAnsiTheme="majorHAnsi" w:cs="Arial"/>
          <w:szCs w:val="26"/>
        </w:rPr>
        <w:t xml:space="preserve">as it </w:t>
      </w:r>
      <w:r w:rsidR="00325BD2">
        <w:rPr>
          <w:rFonts w:asciiTheme="majorHAnsi" w:hAnsiTheme="majorHAnsi" w:cs="Arial"/>
          <w:szCs w:val="26"/>
        </w:rPr>
        <w:t xml:space="preserve">is </w:t>
      </w:r>
      <w:r w:rsidR="00537B20">
        <w:rPr>
          <w:rFonts w:asciiTheme="majorHAnsi" w:hAnsiTheme="majorHAnsi" w:cs="Arial"/>
          <w:szCs w:val="26"/>
        </w:rPr>
        <w:t xml:space="preserve">currently struck. Yet the submissions also contained information </w:t>
      </w:r>
      <w:r w:rsidR="00B83500">
        <w:rPr>
          <w:rFonts w:asciiTheme="majorHAnsi" w:hAnsiTheme="majorHAnsi" w:cs="Arial"/>
          <w:szCs w:val="26"/>
        </w:rPr>
        <w:t xml:space="preserve">that </w:t>
      </w:r>
      <w:r w:rsidR="00325BD2">
        <w:rPr>
          <w:rFonts w:asciiTheme="majorHAnsi" w:hAnsiTheme="majorHAnsi" w:cs="Arial"/>
          <w:szCs w:val="26"/>
        </w:rPr>
        <w:t xml:space="preserve">competition for the sake of competition </w:t>
      </w:r>
      <w:r w:rsidR="00B83500">
        <w:rPr>
          <w:rFonts w:asciiTheme="majorHAnsi" w:hAnsiTheme="majorHAnsi" w:cs="Arial"/>
          <w:szCs w:val="26"/>
        </w:rPr>
        <w:t xml:space="preserve">has </w:t>
      </w:r>
      <w:r w:rsidR="00325BD2">
        <w:rPr>
          <w:rFonts w:asciiTheme="majorHAnsi" w:hAnsiTheme="majorHAnsi" w:cs="Arial"/>
          <w:szCs w:val="26"/>
        </w:rPr>
        <w:t xml:space="preserve">little real dividend in terms of quality. </w:t>
      </w:r>
      <w:r w:rsidR="00537B20">
        <w:rPr>
          <w:rFonts w:asciiTheme="majorHAnsi" w:hAnsiTheme="majorHAnsi" w:cs="Arial"/>
          <w:szCs w:val="26"/>
        </w:rPr>
        <w:t xml:space="preserve">Such </w:t>
      </w:r>
      <w:r w:rsidR="00325BD2">
        <w:rPr>
          <w:rFonts w:asciiTheme="majorHAnsi" w:hAnsiTheme="majorHAnsi" w:cs="Arial"/>
          <w:szCs w:val="26"/>
        </w:rPr>
        <w:t xml:space="preserve">competitive </w:t>
      </w:r>
      <w:r w:rsidR="00537B20">
        <w:rPr>
          <w:rFonts w:asciiTheme="majorHAnsi" w:hAnsiTheme="majorHAnsi" w:cs="Arial"/>
          <w:szCs w:val="26"/>
        </w:rPr>
        <w:t>jostling guarantees a contestable VET market/system that errs on the side of winner-takes-all, where the annihilation of important players in the VET market/system is enable</w:t>
      </w:r>
      <w:r w:rsidR="00160699">
        <w:rPr>
          <w:rFonts w:asciiTheme="majorHAnsi" w:hAnsiTheme="majorHAnsi" w:cs="Arial"/>
          <w:szCs w:val="26"/>
        </w:rPr>
        <w:t>d</w:t>
      </w:r>
      <w:r w:rsidR="00537B20">
        <w:rPr>
          <w:rFonts w:asciiTheme="majorHAnsi" w:hAnsiTheme="majorHAnsi" w:cs="Arial"/>
          <w:szCs w:val="26"/>
        </w:rPr>
        <w:t xml:space="preserve"> through a contest </w:t>
      </w:r>
      <w:r w:rsidR="00A5100E">
        <w:rPr>
          <w:rFonts w:asciiTheme="majorHAnsi" w:hAnsiTheme="majorHAnsi" w:cs="Arial"/>
          <w:szCs w:val="26"/>
        </w:rPr>
        <w:t>without</w:t>
      </w:r>
      <w:r w:rsidR="00537B20">
        <w:rPr>
          <w:rFonts w:asciiTheme="majorHAnsi" w:hAnsiTheme="majorHAnsi" w:cs="Arial"/>
          <w:szCs w:val="26"/>
        </w:rPr>
        <w:t xml:space="preserve"> cooperation.  </w:t>
      </w:r>
    </w:p>
    <w:p w14:paraId="59A9C9CC" w14:textId="77777777" w:rsidR="00760A7F" w:rsidRDefault="00760A7F" w:rsidP="00936BC4">
      <w:pPr>
        <w:rPr>
          <w:rFonts w:asciiTheme="majorHAnsi" w:hAnsiTheme="majorHAnsi" w:cs="Arial"/>
          <w:sz w:val="28"/>
          <w:szCs w:val="26"/>
        </w:rPr>
      </w:pPr>
    </w:p>
    <w:p w14:paraId="61AF8CBF" w14:textId="77777777" w:rsidR="00AD4D09" w:rsidRPr="00570190" w:rsidRDefault="00AD4D09" w:rsidP="00936BC4">
      <w:pPr>
        <w:rPr>
          <w:rFonts w:asciiTheme="majorHAnsi" w:hAnsiTheme="majorHAnsi" w:cs="Arial"/>
          <w:sz w:val="28"/>
          <w:szCs w:val="26"/>
        </w:rPr>
      </w:pPr>
      <w:r>
        <w:rPr>
          <w:rFonts w:asciiTheme="majorHAnsi" w:hAnsiTheme="majorHAnsi" w:cs="Arial"/>
          <w:sz w:val="28"/>
          <w:szCs w:val="26"/>
        </w:rPr>
        <w:t xml:space="preserve">Conclusion </w:t>
      </w:r>
      <w:r w:rsidRPr="00AD4D09">
        <w:rPr>
          <w:rFonts w:asciiTheme="majorHAnsi" w:hAnsiTheme="majorHAnsi" w:cs="Arial"/>
          <w:sz w:val="28"/>
          <w:szCs w:val="26"/>
        </w:rPr>
        <w:t xml:space="preserve"> </w:t>
      </w:r>
    </w:p>
    <w:p w14:paraId="26B75BF9" w14:textId="77777777" w:rsidR="00537B20" w:rsidRDefault="00325BD2" w:rsidP="00537B20">
      <w:pPr>
        <w:jc w:val="both"/>
        <w:rPr>
          <w:rFonts w:asciiTheme="majorHAnsi" w:hAnsiTheme="majorHAnsi" w:cs="Arial"/>
          <w:szCs w:val="26"/>
        </w:rPr>
      </w:pPr>
      <w:r>
        <w:rPr>
          <w:rFonts w:asciiTheme="majorHAnsi" w:hAnsiTheme="majorHAnsi" w:cs="Arial"/>
          <w:szCs w:val="26"/>
        </w:rPr>
        <w:t xml:space="preserve">The need for cooperation </w:t>
      </w:r>
      <w:r w:rsidRPr="009578E0">
        <w:rPr>
          <w:rFonts w:asciiTheme="majorHAnsi" w:hAnsiTheme="majorHAnsi" w:cs="Arial"/>
          <w:szCs w:val="26"/>
        </w:rPr>
        <w:t>in striking a more just contestable VET market where increased access can be facilitated and not thwarted</w:t>
      </w:r>
      <w:r>
        <w:rPr>
          <w:rFonts w:asciiTheme="majorHAnsi" w:hAnsiTheme="majorHAnsi" w:cs="Arial"/>
          <w:szCs w:val="26"/>
        </w:rPr>
        <w:t xml:space="preserve"> seems to represent a missed opportunity in the VTG. </w:t>
      </w:r>
      <w:r w:rsidR="002C0E6B">
        <w:rPr>
          <w:rFonts w:asciiTheme="majorHAnsi" w:hAnsiTheme="majorHAnsi" w:cs="Arial"/>
          <w:szCs w:val="26"/>
        </w:rPr>
        <w:t>Co</w:t>
      </w:r>
      <w:r w:rsidR="00537B20" w:rsidRPr="009578E0">
        <w:rPr>
          <w:rFonts w:asciiTheme="majorHAnsi" w:hAnsiTheme="majorHAnsi" w:cs="Arial"/>
          <w:szCs w:val="26"/>
        </w:rPr>
        <w:t xml:space="preserve">nsumer protection </w:t>
      </w:r>
      <w:r w:rsidR="002C0E6B">
        <w:rPr>
          <w:rFonts w:asciiTheme="majorHAnsi" w:hAnsiTheme="majorHAnsi" w:cs="Arial"/>
          <w:szCs w:val="26"/>
        </w:rPr>
        <w:t xml:space="preserve">is </w:t>
      </w:r>
      <w:r w:rsidR="00537B20">
        <w:rPr>
          <w:rFonts w:asciiTheme="majorHAnsi" w:hAnsiTheme="majorHAnsi" w:cs="Arial"/>
          <w:szCs w:val="26"/>
        </w:rPr>
        <w:t>imperative to a fair and healthy VET market/system</w:t>
      </w:r>
      <w:r>
        <w:rPr>
          <w:rFonts w:asciiTheme="majorHAnsi" w:hAnsiTheme="majorHAnsi" w:cs="Arial"/>
          <w:szCs w:val="26"/>
        </w:rPr>
        <w:t xml:space="preserve"> that fairly and affordably increases the skills base of the workforce.</w:t>
      </w:r>
      <w:r w:rsidR="00537B20">
        <w:rPr>
          <w:rFonts w:asciiTheme="majorHAnsi" w:hAnsiTheme="majorHAnsi" w:cs="Arial"/>
          <w:szCs w:val="26"/>
        </w:rPr>
        <w:t xml:space="preserve"> This can </w:t>
      </w:r>
      <w:r w:rsidR="00537B20" w:rsidRPr="009578E0">
        <w:rPr>
          <w:rFonts w:asciiTheme="majorHAnsi" w:hAnsiTheme="majorHAnsi" w:cs="Arial"/>
          <w:szCs w:val="26"/>
        </w:rPr>
        <w:t>only be achieved in a contestable training</w:t>
      </w:r>
      <w:r w:rsidR="00537B20">
        <w:rPr>
          <w:rFonts w:asciiTheme="majorHAnsi" w:hAnsiTheme="majorHAnsi" w:cs="Arial"/>
          <w:szCs w:val="26"/>
        </w:rPr>
        <w:t xml:space="preserve"> market premised upon policy and </w:t>
      </w:r>
      <w:r w:rsidR="00537B20" w:rsidRPr="009578E0">
        <w:rPr>
          <w:rFonts w:asciiTheme="majorHAnsi" w:hAnsiTheme="majorHAnsi" w:cs="Arial"/>
          <w:szCs w:val="26"/>
        </w:rPr>
        <w:t>operational contexts characterised by co-operation. That is, cooperation between different parties and interests groups that shape and affect VET provision. With a broad range of provider types engaged in the VET market</w:t>
      </w:r>
      <w:r w:rsidR="00537B20">
        <w:rPr>
          <w:rFonts w:asciiTheme="majorHAnsi" w:hAnsiTheme="majorHAnsi" w:cs="Arial"/>
          <w:szCs w:val="26"/>
        </w:rPr>
        <w:t xml:space="preserve">/system </w:t>
      </w:r>
      <w:r w:rsidR="00537B20" w:rsidRPr="009578E0">
        <w:rPr>
          <w:rFonts w:asciiTheme="majorHAnsi" w:hAnsiTheme="majorHAnsi" w:cs="Arial"/>
          <w:szCs w:val="26"/>
        </w:rPr>
        <w:t xml:space="preserve">this </w:t>
      </w:r>
      <w:r w:rsidR="00537B20">
        <w:rPr>
          <w:rFonts w:asciiTheme="majorHAnsi" w:hAnsiTheme="majorHAnsi" w:cs="Arial"/>
          <w:szCs w:val="26"/>
        </w:rPr>
        <w:t xml:space="preserve">would clearly </w:t>
      </w:r>
      <w:r w:rsidR="00537B20" w:rsidRPr="009578E0">
        <w:rPr>
          <w:rFonts w:asciiTheme="majorHAnsi" w:hAnsiTheme="majorHAnsi" w:cs="Arial"/>
          <w:szCs w:val="26"/>
        </w:rPr>
        <w:t xml:space="preserve">depend upon </w:t>
      </w:r>
      <w:r w:rsidR="00537B20">
        <w:rPr>
          <w:rFonts w:asciiTheme="majorHAnsi" w:hAnsiTheme="majorHAnsi" w:cs="Arial"/>
          <w:szCs w:val="26"/>
        </w:rPr>
        <w:t xml:space="preserve">the </w:t>
      </w:r>
      <w:r w:rsidR="00537B20" w:rsidRPr="009578E0">
        <w:rPr>
          <w:rFonts w:asciiTheme="majorHAnsi" w:hAnsiTheme="majorHAnsi" w:cs="Arial"/>
          <w:szCs w:val="26"/>
        </w:rPr>
        <w:t xml:space="preserve">recognition and acceptance of the particularities of each group and its place in a contestable training market. </w:t>
      </w:r>
      <w:r w:rsidR="00537B20">
        <w:rPr>
          <w:rFonts w:asciiTheme="majorHAnsi" w:hAnsiTheme="majorHAnsi" w:cs="Arial"/>
          <w:szCs w:val="26"/>
        </w:rPr>
        <w:t xml:space="preserve">Through the submissions made to the review </w:t>
      </w:r>
      <w:r w:rsidR="00A5100E">
        <w:rPr>
          <w:rFonts w:asciiTheme="majorHAnsi" w:hAnsiTheme="majorHAnsi" w:cs="Arial"/>
          <w:szCs w:val="26"/>
        </w:rPr>
        <w:t xml:space="preserve">it </w:t>
      </w:r>
      <w:r w:rsidR="00537B20">
        <w:rPr>
          <w:rFonts w:asciiTheme="majorHAnsi" w:hAnsiTheme="majorHAnsi" w:cs="Arial"/>
          <w:szCs w:val="26"/>
        </w:rPr>
        <w:t>becomes abundantly clear</w:t>
      </w:r>
      <w:r w:rsidR="00A5100E">
        <w:rPr>
          <w:rFonts w:asciiTheme="majorHAnsi" w:hAnsiTheme="majorHAnsi" w:cs="Arial"/>
          <w:szCs w:val="26"/>
        </w:rPr>
        <w:t xml:space="preserve"> that as it is presently set the VET market/system as arranged through the VTG does not enable this </w:t>
      </w:r>
      <w:r>
        <w:rPr>
          <w:rFonts w:asciiTheme="majorHAnsi" w:hAnsiTheme="majorHAnsi" w:cs="Arial"/>
          <w:szCs w:val="26"/>
        </w:rPr>
        <w:t xml:space="preserve">and at it’s worst repels just those people it seeks to attract. </w:t>
      </w:r>
      <w:r w:rsidR="00537B20">
        <w:rPr>
          <w:rFonts w:asciiTheme="majorHAnsi" w:hAnsiTheme="majorHAnsi" w:cs="Arial"/>
          <w:szCs w:val="26"/>
        </w:rPr>
        <w:t xml:space="preserve"> </w:t>
      </w:r>
    </w:p>
    <w:p w14:paraId="6350181A" w14:textId="77777777" w:rsidR="00537B20" w:rsidRDefault="00537B20" w:rsidP="00936BC4">
      <w:pPr>
        <w:rPr>
          <w:rFonts w:asciiTheme="majorHAnsi" w:hAnsiTheme="majorHAnsi" w:cs="Arial"/>
          <w:szCs w:val="26"/>
        </w:rPr>
      </w:pPr>
    </w:p>
    <w:p w14:paraId="12B98393" w14:textId="77777777" w:rsidR="00A5100E" w:rsidRDefault="00AD4D09" w:rsidP="00A5100E">
      <w:pPr>
        <w:jc w:val="both"/>
        <w:rPr>
          <w:rFonts w:ascii="Times New Roman" w:hAnsi="Times New Roman"/>
          <w:sz w:val="22"/>
        </w:rPr>
      </w:pPr>
      <w:r w:rsidRPr="00EB3404">
        <w:rPr>
          <w:rFonts w:asciiTheme="majorHAnsi" w:hAnsiTheme="majorHAnsi" w:cs="Arial"/>
          <w:szCs w:val="26"/>
        </w:rPr>
        <w:t>Unless cooperation is made a core component of a contestable market,</w:t>
      </w:r>
      <w:r w:rsidR="00A5100E">
        <w:rPr>
          <w:rFonts w:asciiTheme="majorHAnsi" w:hAnsiTheme="majorHAnsi" w:cs="Arial"/>
          <w:szCs w:val="26"/>
        </w:rPr>
        <w:t xml:space="preserve"> the VTG will </w:t>
      </w:r>
      <w:r w:rsidR="00FD2348">
        <w:rPr>
          <w:rFonts w:asciiTheme="majorHAnsi" w:hAnsiTheme="majorHAnsi" w:cs="Arial"/>
          <w:szCs w:val="26"/>
        </w:rPr>
        <w:t>guarantee</w:t>
      </w:r>
      <w:r w:rsidR="00A5100E">
        <w:rPr>
          <w:rFonts w:asciiTheme="majorHAnsi" w:hAnsiTheme="majorHAnsi" w:cs="Arial"/>
          <w:szCs w:val="26"/>
        </w:rPr>
        <w:t xml:space="preserve"> a VET market/system </w:t>
      </w:r>
      <w:r w:rsidR="00160699">
        <w:rPr>
          <w:rFonts w:asciiTheme="majorHAnsi" w:hAnsiTheme="majorHAnsi" w:cs="Arial"/>
          <w:szCs w:val="26"/>
        </w:rPr>
        <w:t xml:space="preserve">that produces </w:t>
      </w:r>
      <w:r w:rsidR="00A5100E" w:rsidRPr="00EB3404">
        <w:rPr>
          <w:rFonts w:asciiTheme="majorHAnsi" w:hAnsiTheme="majorHAnsi" w:cs="Arial"/>
          <w:szCs w:val="26"/>
        </w:rPr>
        <w:t xml:space="preserve">disappointed students, </w:t>
      </w:r>
      <w:r w:rsidR="00160699">
        <w:rPr>
          <w:rFonts w:asciiTheme="majorHAnsi" w:hAnsiTheme="majorHAnsi" w:cs="Arial"/>
          <w:szCs w:val="26"/>
        </w:rPr>
        <w:t xml:space="preserve">unsatisfied skills requirements for </w:t>
      </w:r>
      <w:r w:rsidR="00A5100E" w:rsidRPr="00EB3404">
        <w:rPr>
          <w:rFonts w:asciiTheme="majorHAnsi" w:hAnsiTheme="majorHAnsi" w:cs="Arial"/>
          <w:szCs w:val="26"/>
        </w:rPr>
        <w:t>industry and providers</w:t>
      </w:r>
      <w:r w:rsidR="00160699">
        <w:rPr>
          <w:rFonts w:asciiTheme="majorHAnsi" w:hAnsiTheme="majorHAnsi" w:cs="Arial"/>
          <w:szCs w:val="26"/>
        </w:rPr>
        <w:t xml:space="preserve"> pitted against each other for no real </w:t>
      </w:r>
      <w:r w:rsidR="00FD2348">
        <w:rPr>
          <w:rFonts w:asciiTheme="majorHAnsi" w:hAnsiTheme="majorHAnsi" w:cs="Arial"/>
          <w:szCs w:val="26"/>
        </w:rPr>
        <w:t>gain.</w:t>
      </w:r>
      <w:r w:rsidR="00FD2348" w:rsidRPr="009578E0">
        <w:rPr>
          <w:rFonts w:asciiTheme="majorHAnsi" w:hAnsiTheme="majorHAnsi" w:cs="Arial"/>
          <w:szCs w:val="26"/>
        </w:rPr>
        <w:t xml:space="preserve"> It</w:t>
      </w:r>
      <w:r w:rsidR="00F12C6B" w:rsidRPr="009578E0">
        <w:rPr>
          <w:rFonts w:asciiTheme="majorHAnsi" w:hAnsiTheme="majorHAnsi" w:cs="Arial"/>
          <w:szCs w:val="26"/>
        </w:rPr>
        <w:t xml:space="preserve"> seems that as a result of these reforms there are significant issues being playe</w:t>
      </w:r>
      <w:r w:rsidR="00A5100E">
        <w:rPr>
          <w:rFonts w:asciiTheme="majorHAnsi" w:hAnsiTheme="majorHAnsi" w:cs="Arial"/>
          <w:szCs w:val="26"/>
        </w:rPr>
        <w:t xml:space="preserve">d out in Victoria’s bold reform experiment </w:t>
      </w:r>
      <w:r w:rsidR="00F12C6B" w:rsidRPr="009578E0">
        <w:rPr>
          <w:rFonts w:asciiTheme="majorHAnsi" w:hAnsiTheme="majorHAnsi" w:cs="Arial"/>
          <w:szCs w:val="26"/>
        </w:rPr>
        <w:t xml:space="preserve">that are challenging the viability of Victoria’s VET system. The policy emphasis on choice and competition is occurring with little regard for cooperation and the capacity of the </w:t>
      </w:r>
      <w:r w:rsidR="00F12C6B">
        <w:rPr>
          <w:rFonts w:asciiTheme="majorHAnsi" w:hAnsiTheme="majorHAnsi" w:cs="Arial"/>
          <w:szCs w:val="26"/>
        </w:rPr>
        <w:t xml:space="preserve">Victorian </w:t>
      </w:r>
      <w:r w:rsidR="00F12C6B" w:rsidRPr="009578E0">
        <w:rPr>
          <w:rFonts w:asciiTheme="majorHAnsi" w:hAnsiTheme="majorHAnsi" w:cs="Arial"/>
          <w:szCs w:val="26"/>
        </w:rPr>
        <w:t xml:space="preserve">VET </w:t>
      </w:r>
      <w:r w:rsidR="00F12C6B">
        <w:rPr>
          <w:rFonts w:asciiTheme="majorHAnsi" w:hAnsiTheme="majorHAnsi" w:cs="Arial"/>
          <w:szCs w:val="26"/>
        </w:rPr>
        <w:t>market/</w:t>
      </w:r>
      <w:r w:rsidR="00F12C6B" w:rsidRPr="009578E0">
        <w:rPr>
          <w:rFonts w:asciiTheme="majorHAnsi" w:hAnsiTheme="majorHAnsi" w:cs="Arial"/>
          <w:szCs w:val="26"/>
        </w:rPr>
        <w:t>system to protect consumers from unscrupulous and poor quality education. Ones needs look no further than the media reports o</w:t>
      </w:r>
      <w:r w:rsidR="00FD2348">
        <w:rPr>
          <w:rFonts w:asciiTheme="majorHAnsi" w:hAnsiTheme="majorHAnsi" w:cs="Arial"/>
          <w:szCs w:val="26"/>
        </w:rPr>
        <w:t>ver</w:t>
      </w:r>
      <w:r w:rsidR="00F12C6B" w:rsidRPr="009578E0">
        <w:rPr>
          <w:rFonts w:asciiTheme="majorHAnsi" w:hAnsiTheme="majorHAnsi" w:cs="Arial"/>
          <w:szCs w:val="26"/>
        </w:rPr>
        <w:t xml:space="preserve"> the last four years </w:t>
      </w:r>
      <w:r w:rsidR="00FD2348">
        <w:rPr>
          <w:rFonts w:asciiTheme="majorHAnsi" w:hAnsiTheme="majorHAnsi" w:cs="Arial"/>
          <w:szCs w:val="26"/>
        </w:rPr>
        <w:t xml:space="preserve">of </w:t>
      </w:r>
      <w:r w:rsidR="00F12C6B" w:rsidRPr="009578E0">
        <w:rPr>
          <w:rFonts w:asciiTheme="majorHAnsi" w:hAnsiTheme="majorHAnsi" w:cs="Arial"/>
          <w:szCs w:val="26"/>
        </w:rPr>
        <w:t>international students not receiving prope</w:t>
      </w:r>
      <w:r w:rsidR="00AE20FF">
        <w:rPr>
          <w:rFonts w:asciiTheme="majorHAnsi" w:hAnsiTheme="majorHAnsi" w:cs="Arial"/>
          <w:szCs w:val="26"/>
        </w:rPr>
        <w:t xml:space="preserve">r education, </w:t>
      </w:r>
      <w:r w:rsidR="00A5100E">
        <w:rPr>
          <w:rFonts w:asciiTheme="majorHAnsi" w:hAnsiTheme="majorHAnsi" w:cs="Arial"/>
          <w:szCs w:val="26"/>
        </w:rPr>
        <w:t>exorbitant fee hikes</w:t>
      </w:r>
      <w:r w:rsidR="00F12C6B" w:rsidRPr="009578E0">
        <w:rPr>
          <w:rFonts w:asciiTheme="majorHAnsi" w:hAnsiTheme="majorHAnsi" w:cs="Arial"/>
          <w:szCs w:val="26"/>
        </w:rPr>
        <w:t xml:space="preserve"> not to mention </w:t>
      </w:r>
      <w:r w:rsidR="00AE20FF">
        <w:rPr>
          <w:rFonts w:asciiTheme="majorHAnsi" w:hAnsiTheme="majorHAnsi" w:cs="Arial"/>
          <w:szCs w:val="26"/>
        </w:rPr>
        <w:t>the high profile closures of several RTO</w:t>
      </w:r>
      <w:r w:rsidR="00FD2348">
        <w:rPr>
          <w:rFonts w:asciiTheme="majorHAnsi" w:hAnsiTheme="majorHAnsi" w:cs="Arial"/>
          <w:szCs w:val="26"/>
        </w:rPr>
        <w:t>s</w:t>
      </w:r>
      <w:r w:rsidR="00AE20FF">
        <w:rPr>
          <w:rFonts w:asciiTheme="majorHAnsi" w:hAnsiTheme="majorHAnsi" w:cs="Arial"/>
          <w:szCs w:val="26"/>
        </w:rPr>
        <w:t xml:space="preserve">. </w:t>
      </w:r>
      <w:r w:rsidR="00FD2348">
        <w:rPr>
          <w:rFonts w:asciiTheme="majorHAnsi" w:hAnsiTheme="majorHAnsi" w:cs="Arial"/>
          <w:szCs w:val="26"/>
        </w:rPr>
        <w:t xml:space="preserve">Without cooperation </w:t>
      </w:r>
      <w:r w:rsidR="00681966">
        <w:rPr>
          <w:rFonts w:asciiTheme="majorHAnsi" w:hAnsiTheme="majorHAnsi" w:cs="Arial"/>
          <w:szCs w:val="26"/>
        </w:rPr>
        <w:t>there can be</w:t>
      </w:r>
      <w:r w:rsidR="00FD2348">
        <w:rPr>
          <w:rFonts w:asciiTheme="majorHAnsi" w:hAnsiTheme="majorHAnsi" w:cs="Arial"/>
          <w:szCs w:val="26"/>
        </w:rPr>
        <w:t xml:space="preserve"> no </w:t>
      </w:r>
      <w:r w:rsidR="00A5100E" w:rsidRPr="00D577E1">
        <w:rPr>
          <w:rFonts w:asciiTheme="majorHAnsi" w:hAnsiTheme="majorHAnsi" w:cs="Arial"/>
          <w:szCs w:val="26"/>
        </w:rPr>
        <w:t>consumer protections</w:t>
      </w:r>
      <w:r w:rsidR="00FD2348">
        <w:rPr>
          <w:rFonts w:asciiTheme="majorHAnsi" w:hAnsiTheme="majorHAnsi" w:cs="Arial"/>
          <w:szCs w:val="26"/>
        </w:rPr>
        <w:t xml:space="preserve"> </w:t>
      </w:r>
      <w:r w:rsidR="00244DDD">
        <w:rPr>
          <w:rFonts w:asciiTheme="majorHAnsi" w:hAnsiTheme="majorHAnsi" w:cs="Arial"/>
          <w:szCs w:val="26"/>
        </w:rPr>
        <w:t xml:space="preserve">or </w:t>
      </w:r>
      <w:r w:rsidR="00681966">
        <w:rPr>
          <w:rFonts w:asciiTheme="majorHAnsi" w:hAnsiTheme="majorHAnsi" w:cs="Arial"/>
          <w:szCs w:val="26"/>
        </w:rPr>
        <w:t xml:space="preserve">implied </w:t>
      </w:r>
      <w:r w:rsidR="00A5100E" w:rsidRPr="00D577E1">
        <w:rPr>
          <w:rFonts w:asciiTheme="majorHAnsi" w:hAnsiTheme="majorHAnsi" w:cs="Arial"/>
          <w:szCs w:val="26"/>
        </w:rPr>
        <w:t>guarantee</w:t>
      </w:r>
      <w:r w:rsidR="00FD2348">
        <w:rPr>
          <w:rFonts w:asciiTheme="majorHAnsi" w:hAnsiTheme="majorHAnsi" w:cs="Arial"/>
          <w:szCs w:val="26"/>
        </w:rPr>
        <w:t xml:space="preserve">s </w:t>
      </w:r>
      <w:r w:rsidR="00A5100E" w:rsidRPr="00D577E1">
        <w:rPr>
          <w:rFonts w:asciiTheme="majorHAnsi" w:hAnsiTheme="majorHAnsi" w:cs="Arial"/>
          <w:szCs w:val="26"/>
        </w:rPr>
        <w:t>of quality VET in Victoria’s contestable environment.</w:t>
      </w:r>
    </w:p>
    <w:p w14:paraId="71F967FB" w14:textId="77777777" w:rsidR="00CD63E6" w:rsidRDefault="00CD63E6" w:rsidP="00936BC4">
      <w:pPr>
        <w:rPr>
          <w:rFonts w:ascii="Times New Roman" w:hAnsi="Times New Roman"/>
          <w:sz w:val="22"/>
        </w:rPr>
      </w:pPr>
    </w:p>
    <w:p w14:paraId="0816F043" w14:textId="77777777" w:rsidR="00FC3EF3" w:rsidRPr="00EB3404" w:rsidRDefault="00570190" w:rsidP="00936BC4">
      <w:pPr>
        <w:rPr>
          <w:rFonts w:asciiTheme="majorHAnsi" w:hAnsiTheme="majorHAnsi" w:cs="Arial"/>
          <w:sz w:val="28"/>
          <w:szCs w:val="26"/>
        </w:rPr>
      </w:pPr>
      <w:r w:rsidRPr="00EB3404">
        <w:rPr>
          <w:rFonts w:asciiTheme="majorHAnsi" w:hAnsiTheme="majorHAnsi" w:cs="Arial"/>
          <w:sz w:val="28"/>
          <w:szCs w:val="26"/>
        </w:rPr>
        <w:t>References.</w:t>
      </w:r>
      <w:r w:rsidR="00CD63E6" w:rsidRPr="00570190">
        <w:rPr>
          <w:rFonts w:asciiTheme="majorHAnsi" w:hAnsiTheme="majorHAnsi"/>
        </w:rPr>
        <w:tab/>
        <w:t xml:space="preserve">  </w:t>
      </w:r>
    </w:p>
    <w:p w14:paraId="730BF95A" w14:textId="77777777" w:rsidR="00244DDD" w:rsidRDefault="00EB3404" w:rsidP="00570190">
      <w:pPr>
        <w:rPr>
          <w:rFonts w:asciiTheme="majorHAnsi" w:hAnsiTheme="majorHAnsi"/>
        </w:rPr>
      </w:pPr>
      <w:r>
        <w:rPr>
          <w:rFonts w:asciiTheme="majorHAnsi" w:hAnsiTheme="majorHAnsi"/>
        </w:rPr>
        <w:t>Alle</w:t>
      </w:r>
      <w:r w:rsidR="007A37BF" w:rsidRPr="00570190">
        <w:rPr>
          <w:rFonts w:asciiTheme="majorHAnsi" w:hAnsiTheme="majorHAnsi"/>
        </w:rPr>
        <w:t>n, R. (2011)</w:t>
      </w:r>
      <w:r w:rsidR="00244DDD">
        <w:rPr>
          <w:rFonts w:asciiTheme="majorHAnsi" w:hAnsiTheme="majorHAnsi"/>
        </w:rPr>
        <w:t>,</w:t>
      </w:r>
      <w:r w:rsidR="007A37BF" w:rsidRPr="00570190">
        <w:rPr>
          <w:rFonts w:asciiTheme="majorHAnsi" w:hAnsiTheme="majorHAnsi"/>
        </w:rPr>
        <w:t xml:space="preserve"> “The contribution for a more inclusive Australia” Conference </w:t>
      </w:r>
      <w:r w:rsidR="00570190">
        <w:rPr>
          <w:rFonts w:asciiTheme="majorHAnsi" w:hAnsiTheme="majorHAnsi"/>
        </w:rPr>
        <w:tab/>
      </w:r>
      <w:r w:rsidR="007A37BF" w:rsidRPr="00570190">
        <w:rPr>
          <w:rFonts w:asciiTheme="majorHAnsi" w:hAnsiTheme="majorHAnsi"/>
        </w:rPr>
        <w:t>presenation at the annual Centre fo</w:t>
      </w:r>
      <w:r w:rsidR="00570190">
        <w:rPr>
          <w:rFonts w:asciiTheme="majorHAnsi" w:hAnsiTheme="majorHAnsi"/>
        </w:rPr>
        <w:t>r</w:t>
      </w:r>
      <w:r w:rsidR="007A37BF" w:rsidRPr="00570190">
        <w:rPr>
          <w:rFonts w:asciiTheme="majorHAnsi" w:hAnsiTheme="majorHAnsi"/>
        </w:rPr>
        <w:t xml:space="preserve"> Econom</w:t>
      </w:r>
      <w:r w:rsidR="00570190">
        <w:rPr>
          <w:rFonts w:asciiTheme="majorHAnsi" w:hAnsiTheme="majorHAnsi"/>
        </w:rPr>
        <w:t>i</w:t>
      </w:r>
      <w:r w:rsidR="007A37BF" w:rsidRPr="00570190">
        <w:rPr>
          <w:rFonts w:asciiTheme="majorHAnsi" w:hAnsiTheme="majorHAnsi"/>
        </w:rPr>
        <w:t>cs of Education and Training</w:t>
      </w:r>
      <w:r w:rsidR="00570190">
        <w:rPr>
          <w:rFonts w:asciiTheme="majorHAnsi" w:hAnsiTheme="majorHAnsi"/>
        </w:rPr>
        <w:t xml:space="preserve"> </w:t>
      </w:r>
      <w:r w:rsidR="00570190">
        <w:rPr>
          <w:rFonts w:asciiTheme="majorHAnsi" w:hAnsiTheme="majorHAnsi"/>
        </w:rPr>
        <w:tab/>
        <w:t>(CEET)</w:t>
      </w:r>
      <w:r w:rsidR="007A37BF" w:rsidRPr="00570190">
        <w:rPr>
          <w:rFonts w:asciiTheme="majorHAnsi" w:hAnsiTheme="majorHAnsi"/>
        </w:rPr>
        <w:t xml:space="preserve"> </w:t>
      </w:r>
      <w:r w:rsidR="00570190">
        <w:rPr>
          <w:rFonts w:asciiTheme="majorHAnsi" w:hAnsiTheme="majorHAnsi"/>
        </w:rPr>
        <w:tab/>
      </w:r>
      <w:r w:rsidR="00244DDD">
        <w:rPr>
          <w:rFonts w:asciiTheme="majorHAnsi" w:hAnsiTheme="majorHAnsi"/>
        </w:rPr>
        <w:t>conference, November</w:t>
      </w:r>
      <w:r w:rsidR="007A37BF" w:rsidRPr="00570190">
        <w:rPr>
          <w:rFonts w:asciiTheme="majorHAnsi" w:hAnsiTheme="majorHAnsi"/>
        </w:rPr>
        <w:t xml:space="preserve">, Melbourne. </w:t>
      </w:r>
    </w:p>
    <w:p w14:paraId="2D69E8AF" w14:textId="77777777" w:rsidR="00BD234D" w:rsidRDefault="00244DDD" w:rsidP="00570190">
      <w:pPr>
        <w:rPr>
          <w:rFonts w:asciiTheme="majorHAnsi" w:hAnsiTheme="majorHAnsi"/>
        </w:rPr>
      </w:pPr>
      <w:r>
        <w:rPr>
          <w:rFonts w:asciiTheme="majorHAnsi" w:hAnsiTheme="majorHAnsi"/>
        </w:rPr>
        <w:t xml:space="preserve">Anderson, D (1997), Competition and market reform in the Australian VET sector, </w:t>
      </w:r>
      <w:r>
        <w:rPr>
          <w:rFonts w:asciiTheme="majorHAnsi" w:hAnsiTheme="majorHAnsi"/>
        </w:rPr>
        <w:tab/>
        <w:t>NCVER, South Australia</w:t>
      </w:r>
    </w:p>
    <w:p w14:paraId="53104622" w14:textId="77777777" w:rsidR="00FC3EF3" w:rsidRPr="00570190" w:rsidRDefault="00BD234D" w:rsidP="00570190">
      <w:pPr>
        <w:rPr>
          <w:rFonts w:asciiTheme="majorHAnsi" w:hAnsiTheme="majorHAnsi"/>
        </w:rPr>
      </w:pPr>
      <w:r>
        <w:rPr>
          <w:rFonts w:asciiTheme="majorHAnsi" w:hAnsiTheme="majorHAnsi"/>
        </w:rPr>
        <w:t>Bauman, Z</w:t>
      </w:r>
      <w:r w:rsidR="00681966">
        <w:rPr>
          <w:rFonts w:asciiTheme="majorHAnsi" w:hAnsiTheme="majorHAnsi"/>
        </w:rPr>
        <w:t>.</w:t>
      </w:r>
      <w:r>
        <w:rPr>
          <w:rFonts w:asciiTheme="majorHAnsi" w:hAnsiTheme="majorHAnsi"/>
        </w:rPr>
        <w:t xml:space="preserve"> (2000)</w:t>
      </w:r>
      <w:r w:rsidR="00681966">
        <w:rPr>
          <w:rFonts w:asciiTheme="majorHAnsi" w:hAnsiTheme="majorHAnsi"/>
        </w:rPr>
        <w:t>,</w:t>
      </w:r>
      <w:r>
        <w:rPr>
          <w:rFonts w:asciiTheme="majorHAnsi" w:hAnsiTheme="majorHAnsi"/>
        </w:rPr>
        <w:t xml:space="preserve"> Liquid modernity, Polity, London. </w:t>
      </w:r>
    </w:p>
    <w:p w14:paraId="325F67E9" w14:textId="77777777" w:rsidR="00760A7F" w:rsidRDefault="00570190" w:rsidP="00570190">
      <w:pPr>
        <w:rPr>
          <w:rFonts w:asciiTheme="majorHAnsi" w:hAnsiTheme="majorHAnsi" w:cs="Times New Roman"/>
          <w:color w:val="000000"/>
        </w:rPr>
      </w:pPr>
      <w:r w:rsidRPr="00570190">
        <w:rPr>
          <w:rFonts w:asciiTheme="majorHAnsi" w:hAnsiTheme="majorHAnsi" w:cs="Times New Roman"/>
          <w:color w:val="000000"/>
        </w:rPr>
        <w:t>Cooney, M.</w:t>
      </w:r>
      <w:r w:rsidR="00FC3EF3" w:rsidRPr="00570190">
        <w:rPr>
          <w:rFonts w:asciiTheme="majorHAnsi" w:hAnsiTheme="majorHAnsi" w:cs="Times New Roman"/>
          <w:color w:val="000000"/>
        </w:rPr>
        <w:t xml:space="preserve">(2008), "A better design of the market for vocational education and </w:t>
      </w:r>
      <w:r>
        <w:rPr>
          <w:rFonts w:asciiTheme="majorHAnsi" w:hAnsiTheme="majorHAnsi" w:cs="Times New Roman"/>
          <w:color w:val="000000"/>
        </w:rPr>
        <w:tab/>
      </w:r>
      <w:r w:rsidR="00FC3EF3" w:rsidRPr="00570190">
        <w:rPr>
          <w:rFonts w:asciiTheme="majorHAnsi" w:hAnsiTheme="majorHAnsi" w:cs="Times New Roman"/>
          <w:color w:val="000000"/>
        </w:rPr>
        <w:t xml:space="preserve">training in Australia? A discussion by Per Capita", </w:t>
      </w:r>
      <w:r w:rsidR="00FC3EF3" w:rsidRPr="00570190">
        <w:rPr>
          <w:rFonts w:asciiTheme="majorHAnsi" w:hAnsiTheme="majorHAnsi" w:cs="Times New Roman"/>
          <w:i/>
          <w:iCs/>
          <w:color w:val="000000"/>
        </w:rPr>
        <w:t xml:space="preserve">Per Capita-RMIT Seminar </w:t>
      </w:r>
      <w:r w:rsidRPr="00570190">
        <w:rPr>
          <w:rFonts w:asciiTheme="majorHAnsi" w:hAnsiTheme="majorHAnsi" w:cs="Times New Roman"/>
          <w:i/>
          <w:iCs/>
          <w:color w:val="000000"/>
        </w:rPr>
        <w:tab/>
      </w:r>
      <w:r w:rsidR="00FC3EF3" w:rsidRPr="00570190">
        <w:rPr>
          <w:rFonts w:asciiTheme="majorHAnsi" w:hAnsiTheme="majorHAnsi" w:cs="Times New Roman"/>
          <w:i/>
          <w:iCs/>
          <w:color w:val="000000"/>
        </w:rPr>
        <w:t>Program Market Design in Vocational Education and Training</w:t>
      </w:r>
      <w:r w:rsidR="00FC3EF3" w:rsidRPr="00570190">
        <w:rPr>
          <w:rFonts w:asciiTheme="majorHAnsi" w:hAnsiTheme="majorHAnsi" w:cs="Times New Roman"/>
          <w:color w:val="000000"/>
        </w:rPr>
        <w:t xml:space="preserve">, RMIT, </w:t>
      </w:r>
      <w:r w:rsidRPr="00570190">
        <w:rPr>
          <w:rFonts w:asciiTheme="majorHAnsi" w:hAnsiTheme="majorHAnsi" w:cs="Times New Roman"/>
          <w:color w:val="000000"/>
        </w:rPr>
        <w:tab/>
      </w:r>
      <w:r w:rsidR="00FC3EF3" w:rsidRPr="00570190">
        <w:rPr>
          <w:rFonts w:asciiTheme="majorHAnsi" w:hAnsiTheme="majorHAnsi" w:cs="Times New Roman"/>
          <w:color w:val="000000"/>
        </w:rPr>
        <w:t>Melbourne, 20 October. Per Capita</w:t>
      </w:r>
      <w:r w:rsidR="00760A7F">
        <w:rPr>
          <w:rFonts w:asciiTheme="majorHAnsi" w:hAnsiTheme="majorHAnsi" w:cs="Times New Roman"/>
          <w:color w:val="000000"/>
        </w:rPr>
        <w:t>.</w:t>
      </w:r>
    </w:p>
    <w:p w14:paraId="11221C28" w14:textId="77777777" w:rsidR="00760A7F" w:rsidRDefault="00760A7F" w:rsidP="00570190">
      <w:pPr>
        <w:rPr>
          <w:rFonts w:asciiTheme="majorHAnsi" w:hAnsiTheme="majorHAnsi" w:cs="Times New Roman"/>
          <w:color w:val="000000"/>
        </w:rPr>
      </w:pPr>
      <w:r>
        <w:rPr>
          <w:rFonts w:asciiTheme="majorHAnsi" w:hAnsiTheme="majorHAnsi" w:cs="Times New Roman"/>
          <w:color w:val="000000"/>
        </w:rPr>
        <w:t>Deveson, I. (1990) Training costs of award of award restructuring, AGPS, Canberra</w:t>
      </w:r>
    </w:p>
    <w:p w14:paraId="649EDB15" w14:textId="77777777" w:rsidR="00244DDD" w:rsidRDefault="00760A7F" w:rsidP="00570190">
      <w:pPr>
        <w:rPr>
          <w:rFonts w:asciiTheme="majorHAnsi" w:hAnsiTheme="majorHAnsi" w:cs="Times New Roman"/>
          <w:color w:val="000000"/>
        </w:rPr>
      </w:pPr>
      <w:r>
        <w:rPr>
          <w:rFonts w:asciiTheme="majorHAnsi" w:hAnsiTheme="majorHAnsi" w:cs="Times New Roman"/>
          <w:color w:val="000000"/>
        </w:rPr>
        <w:t xml:space="preserve">Karmel, T., Beddie, F., &amp; Dawe. S. (2009) Competition in the Training Market, </w:t>
      </w:r>
      <w:r w:rsidR="00BD234D">
        <w:rPr>
          <w:rFonts w:asciiTheme="majorHAnsi" w:hAnsiTheme="majorHAnsi" w:cs="Times New Roman"/>
          <w:color w:val="000000"/>
        </w:rPr>
        <w:t xml:space="preserve">NCVER South </w:t>
      </w:r>
      <w:r w:rsidR="00BD234D">
        <w:rPr>
          <w:rFonts w:asciiTheme="majorHAnsi" w:hAnsiTheme="majorHAnsi" w:cs="Times New Roman"/>
          <w:color w:val="000000"/>
        </w:rPr>
        <w:tab/>
        <w:t>Australia</w:t>
      </w:r>
      <w:r>
        <w:rPr>
          <w:rFonts w:asciiTheme="majorHAnsi" w:hAnsiTheme="majorHAnsi" w:cs="Times New Roman"/>
          <w:color w:val="000000"/>
        </w:rPr>
        <w:t>.</w:t>
      </w:r>
    </w:p>
    <w:p w14:paraId="3D47A971" w14:textId="77777777" w:rsidR="00BD234D" w:rsidRDefault="00244DDD" w:rsidP="00570190">
      <w:pPr>
        <w:rPr>
          <w:rFonts w:asciiTheme="majorHAnsi" w:hAnsiTheme="majorHAnsi" w:cs="Times New Roman"/>
          <w:color w:val="000000"/>
        </w:rPr>
      </w:pPr>
      <w:r>
        <w:rPr>
          <w:rFonts w:asciiTheme="majorHAnsi" w:hAnsiTheme="majorHAnsi" w:cs="Times New Roman"/>
          <w:color w:val="000000"/>
        </w:rPr>
        <w:t xml:space="preserve">Seddon, T. (2009), Contestability, information asymmetry and quality signals in a </w:t>
      </w:r>
      <w:r>
        <w:rPr>
          <w:rFonts w:asciiTheme="majorHAnsi" w:hAnsiTheme="majorHAnsi" w:cs="Times New Roman"/>
          <w:color w:val="000000"/>
        </w:rPr>
        <w:tab/>
        <w:t xml:space="preserve">competitive training market, in “Competition in the Training Market” edited </w:t>
      </w:r>
      <w:r w:rsidR="00760A7F">
        <w:rPr>
          <w:rFonts w:asciiTheme="majorHAnsi" w:hAnsiTheme="majorHAnsi" w:cs="Times New Roman"/>
          <w:color w:val="000000"/>
        </w:rPr>
        <w:tab/>
      </w:r>
      <w:r>
        <w:rPr>
          <w:rFonts w:asciiTheme="majorHAnsi" w:hAnsiTheme="majorHAnsi" w:cs="Times New Roman"/>
          <w:color w:val="000000"/>
        </w:rPr>
        <w:t xml:space="preserve">by </w:t>
      </w:r>
      <w:r w:rsidR="00760A7F">
        <w:rPr>
          <w:rFonts w:asciiTheme="majorHAnsi" w:hAnsiTheme="majorHAnsi" w:cs="Times New Roman"/>
          <w:color w:val="000000"/>
        </w:rPr>
        <w:t>Karmel, T.,  Beddie, F., and Dawe, , NCVER</w:t>
      </w:r>
      <w:r w:rsidR="00BD234D">
        <w:rPr>
          <w:rFonts w:asciiTheme="majorHAnsi" w:hAnsiTheme="majorHAnsi" w:cs="Times New Roman"/>
          <w:color w:val="000000"/>
        </w:rPr>
        <w:t xml:space="preserve"> South Australia</w:t>
      </w:r>
      <w:r w:rsidR="00760A7F">
        <w:rPr>
          <w:rFonts w:asciiTheme="majorHAnsi" w:hAnsiTheme="majorHAnsi" w:cs="Times New Roman"/>
          <w:color w:val="000000"/>
        </w:rPr>
        <w:t xml:space="preserve">. </w:t>
      </w:r>
    </w:p>
    <w:p w14:paraId="013C34B6" w14:textId="77777777" w:rsidR="00760A7F" w:rsidRDefault="00BD234D" w:rsidP="00570190">
      <w:pPr>
        <w:rPr>
          <w:rFonts w:asciiTheme="majorHAnsi" w:hAnsiTheme="majorHAnsi" w:cs="Times New Roman"/>
          <w:color w:val="000000"/>
        </w:rPr>
      </w:pPr>
      <w:r>
        <w:rPr>
          <w:rFonts w:asciiTheme="majorHAnsi" w:hAnsiTheme="majorHAnsi" w:cs="Times New Roman"/>
          <w:color w:val="000000"/>
        </w:rPr>
        <w:t>Sennet, R. (2012)</w:t>
      </w:r>
      <w:r w:rsidR="00681966">
        <w:rPr>
          <w:rFonts w:asciiTheme="majorHAnsi" w:hAnsiTheme="majorHAnsi" w:cs="Times New Roman"/>
          <w:color w:val="000000"/>
        </w:rPr>
        <w:t>,</w:t>
      </w:r>
      <w:r>
        <w:rPr>
          <w:rFonts w:asciiTheme="majorHAnsi" w:hAnsiTheme="majorHAnsi" w:cs="Times New Roman"/>
          <w:color w:val="000000"/>
        </w:rPr>
        <w:t xml:space="preserve"> Together, Yale University Press, London.</w:t>
      </w:r>
    </w:p>
    <w:p w14:paraId="7DBEE9BA" w14:textId="77777777" w:rsidR="004A1E65" w:rsidRDefault="004A1E65" w:rsidP="00570190">
      <w:pPr>
        <w:rPr>
          <w:rFonts w:asciiTheme="majorHAnsi" w:hAnsiTheme="majorHAnsi" w:cs="Times New Roman"/>
          <w:color w:val="000000"/>
        </w:rPr>
      </w:pPr>
    </w:p>
    <w:p w14:paraId="20198CF1" w14:textId="77777777" w:rsidR="00EC73D9" w:rsidRDefault="00EC73D9" w:rsidP="004A1E65">
      <w:pPr>
        <w:widowControl w:val="0"/>
        <w:autoSpaceDE w:val="0"/>
        <w:autoSpaceDN w:val="0"/>
        <w:adjustRightInd w:val="0"/>
        <w:contextualSpacing/>
        <w:rPr>
          <w:rFonts w:asciiTheme="majorHAnsi" w:hAnsiTheme="majorHAnsi" w:cs="Verdana"/>
          <w:b/>
          <w:bCs/>
          <w:sz w:val="22"/>
          <w:szCs w:val="22"/>
          <w:u w:val="single" w:color="1F4E8C"/>
        </w:rPr>
      </w:pPr>
    </w:p>
    <w:p w14:paraId="0F40CF0C" w14:textId="77777777" w:rsidR="00EC73D9" w:rsidRDefault="00EC73D9" w:rsidP="004A1E65">
      <w:pPr>
        <w:widowControl w:val="0"/>
        <w:autoSpaceDE w:val="0"/>
        <w:autoSpaceDN w:val="0"/>
        <w:adjustRightInd w:val="0"/>
        <w:contextualSpacing/>
        <w:rPr>
          <w:rFonts w:asciiTheme="majorHAnsi" w:hAnsiTheme="majorHAnsi" w:cs="Verdana"/>
          <w:b/>
          <w:bCs/>
          <w:sz w:val="22"/>
          <w:szCs w:val="22"/>
          <w:u w:val="single" w:color="1F4E8C"/>
        </w:rPr>
      </w:pPr>
    </w:p>
    <w:p w14:paraId="4453BC80" w14:textId="7F182599" w:rsidR="00EC73D9" w:rsidRDefault="00B83500" w:rsidP="004A1E65">
      <w:pPr>
        <w:widowControl w:val="0"/>
        <w:autoSpaceDE w:val="0"/>
        <w:autoSpaceDN w:val="0"/>
        <w:adjustRightInd w:val="0"/>
        <w:contextualSpacing/>
        <w:rPr>
          <w:rFonts w:asciiTheme="majorHAnsi" w:hAnsiTheme="majorHAnsi" w:cs="Verdana"/>
          <w:b/>
          <w:bCs/>
          <w:sz w:val="22"/>
          <w:szCs w:val="22"/>
          <w:u w:val="single" w:color="1F4E8C"/>
        </w:rPr>
      </w:pPr>
      <w:r>
        <w:rPr>
          <w:rFonts w:asciiTheme="majorHAnsi" w:hAnsiTheme="majorHAnsi" w:cs="Verdana"/>
          <w:b/>
          <w:bCs/>
          <w:sz w:val="22"/>
          <w:szCs w:val="22"/>
          <w:u w:val="single" w:color="1F4E8C"/>
        </w:rPr>
        <w:br w:type="page"/>
      </w:r>
    </w:p>
    <w:p w14:paraId="5B735CBB" w14:textId="77777777" w:rsidR="00EC73D9" w:rsidRDefault="00EC73D9" w:rsidP="004A1E65">
      <w:pPr>
        <w:widowControl w:val="0"/>
        <w:autoSpaceDE w:val="0"/>
        <w:autoSpaceDN w:val="0"/>
        <w:adjustRightInd w:val="0"/>
        <w:contextualSpacing/>
        <w:rPr>
          <w:rFonts w:asciiTheme="majorHAnsi" w:hAnsiTheme="majorHAnsi" w:cs="Verdana"/>
          <w:b/>
          <w:bCs/>
          <w:sz w:val="22"/>
          <w:szCs w:val="22"/>
          <w:u w:val="single" w:color="1F4E8C"/>
        </w:rPr>
      </w:pPr>
    </w:p>
    <w:p w14:paraId="73B950CA" w14:textId="77777777" w:rsidR="004A1E65" w:rsidRPr="00681966" w:rsidRDefault="004A1E65" w:rsidP="004A1E65">
      <w:pPr>
        <w:widowControl w:val="0"/>
        <w:autoSpaceDE w:val="0"/>
        <w:autoSpaceDN w:val="0"/>
        <w:adjustRightInd w:val="0"/>
        <w:contextualSpacing/>
        <w:rPr>
          <w:rFonts w:asciiTheme="majorHAnsi" w:hAnsiTheme="majorHAnsi" w:cs="Verdana"/>
          <w:b/>
          <w:bCs/>
          <w:sz w:val="22"/>
          <w:szCs w:val="22"/>
          <w:u w:val="single" w:color="1F4E8C"/>
        </w:rPr>
      </w:pPr>
      <w:r w:rsidRPr="00865180">
        <w:rPr>
          <w:rFonts w:asciiTheme="majorHAnsi" w:hAnsiTheme="majorHAnsi" w:cs="Verdana"/>
          <w:b/>
          <w:bCs/>
          <w:sz w:val="22"/>
          <w:szCs w:val="22"/>
          <w:u w:val="single" w:color="1F4E8C"/>
        </w:rPr>
        <w:t>Appendix One</w:t>
      </w:r>
      <w:r w:rsidR="00681966">
        <w:rPr>
          <w:rFonts w:asciiTheme="majorHAnsi" w:hAnsiTheme="majorHAnsi" w:cs="Verdana"/>
          <w:b/>
          <w:bCs/>
          <w:sz w:val="22"/>
          <w:szCs w:val="22"/>
          <w:u w:val="single" w:color="1F4E8C"/>
        </w:rPr>
        <w:t xml:space="preserve">: </w:t>
      </w:r>
      <w:r w:rsidRPr="00865180">
        <w:rPr>
          <w:rFonts w:asciiTheme="majorHAnsi" w:hAnsiTheme="majorHAnsi" w:cs="Verdana"/>
          <w:b/>
          <w:bCs/>
          <w:sz w:val="22"/>
          <w:szCs w:val="22"/>
          <w:u w:val="single" w:color="1F4E8C"/>
        </w:rPr>
        <w:t xml:space="preserve"> </w:t>
      </w:r>
      <w:r w:rsidR="00681966">
        <w:rPr>
          <w:rFonts w:asciiTheme="majorHAnsi" w:hAnsiTheme="majorHAnsi" w:cs="Verdana"/>
          <w:b/>
          <w:bCs/>
          <w:sz w:val="22"/>
          <w:szCs w:val="22"/>
          <w:u w:val="single" w:color="1F4E8C"/>
        </w:rPr>
        <w:t xml:space="preserve">Submissions to the ESS, </w:t>
      </w:r>
      <w:r w:rsidR="00681966" w:rsidRPr="00681966">
        <w:rPr>
          <w:rFonts w:asciiTheme="majorHAnsi" w:hAnsiTheme="majorHAnsi" w:cs="Arial"/>
          <w:b/>
          <w:i/>
          <w:sz w:val="22"/>
          <w:szCs w:val="22"/>
        </w:rPr>
        <w:t>“Inquiry into Vocational Education and Training Fees and Funding Arrangements”</w:t>
      </w:r>
    </w:p>
    <w:p w14:paraId="275D53F0" w14:textId="77777777" w:rsidR="004A1E65" w:rsidRPr="00865180" w:rsidRDefault="004A1E65" w:rsidP="004A1E65">
      <w:pPr>
        <w:pStyle w:val="ListParagraph"/>
        <w:widowControl w:val="0"/>
        <w:numPr>
          <w:ilvl w:val="0"/>
          <w:numId w:val="10"/>
        </w:numPr>
        <w:tabs>
          <w:tab w:val="left" w:pos="3410"/>
          <w:tab w:val="left" w:pos="19554"/>
          <w:tab w:val="left" w:pos="31680"/>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Box Hill Institut</w:t>
      </w:r>
      <w:r>
        <w:rPr>
          <w:rFonts w:asciiTheme="majorHAnsi" w:hAnsiTheme="majorHAnsi" w:cs="Verdana"/>
          <w:bCs/>
          <w:sz w:val="22"/>
          <w:szCs w:val="22"/>
          <w:u w:color="1F4E8C"/>
        </w:rPr>
        <w:t>e</w:t>
      </w:r>
    </w:p>
    <w:p w14:paraId="4269F016"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ACE DisAbility Network</w:t>
      </w:r>
    </w:p>
    <w:p w14:paraId="752C43EC"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Swinburne</w:t>
      </w:r>
      <w:r>
        <w:rPr>
          <w:rFonts w:asciiTheme="majorHAnsi" w:hAnsiTheme="majorHAnsi" w:cs="Verdana"/>
          <w:sz w:val="22"/>
          <w:szCs w:val="22"/>
        </w:rPr>
        <w:t xml:space="preserve"> </w:t>
      </w:r>
    </w:p>
    <w:p w14:paraId="3E369CF6" w14:textId="77777777" w:rsidR="004A1E65" w:rsidRPr="00865180" w:rsidRDefault="00C05F6A"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hyperlink r:id="rId8" w:history="1">
        <w:r w:rsidR="004A1E65" w:rsidRPr="00865180">
          <w:rPr>
            <w:rFonts w:asciiTheme="majorHAnsi" w:hAnsiTheme="majorHAnsi" w:cs="Verdana"/>
            <w:bCs/>
            <w:sz w:val="22"/>
            <w:szCs w:val="22"/>
            <w:u w:color="1F4E8C"/>
          </w:rPr>
          <w:t>Gary Buckeridge</w:t>
        </w:r>
      </w:hyperlink>
      <w:r w:rsidR="004A1E65">
        <w:rPr>
          <w:rFonts w:asciiTheme="majorHAnsi" w:hAnsiTheme="majorHAnsi" w:cs="Verdana"/>
          <w:sz w:val="22"/>
          <w:szCs w:val="22"/>
        </w:rPr>
        <w:t xml:space="preserve"> </w:t>
      </w:r>
    </w:p>
    <w:p w14:paraId="50305651"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Confidential Submission</w:t>
      </w:r>
      <w:r>
        <w:rPr>
          <w:rFonts w:asciiTheme="majorHAnsi" w:hAnsiTheme="majorHAnsi" w:cs="Verdana"/>
          <w:sz w:val="22"/>
          <w:szCs w:val="22"/>
        </w:rPr>
        <w:t xml:space="preserve"> </w:t>
      </w:r>
    </w:p>
    <w:p w14:paraId="696C502B"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Australian College of Applied Animal Studies</w:t>
      </w:r>
    </w:p>
    <w:p w14:paraId="7B4C6D4A"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Confidential Submission</w:t>
      </w:r>
      <w:r>
        <w:rPr>
          <w:rFonts w:asciiTheme="majorHAnsi" w:hAnsiTheme="majorHAnsi" w:cs="Verdana"/>
          <w:sz w:val="22"/>
          <w:szCs w:val="22"/>
        </w:rPr>
        <w:t xml:space="preserve"> </w:t>
      </w:r>
    </w:p>
    <w:p w14:paraId="3E09B0C3"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Confidential Submission</w:t>
      </w:r>
      <w:r w:rsidRPr="00865180">
        <w:rPr>
          <w:rFonts w:asciiTheme="majorHAnsi" w:hAnsiTheme="majorHAnsi" w:cs="Verdana"/>
          <w:sz w:val="22"/>
          <w:szCs w:val="22"/>
        </w:rPr>
        <w:t xml:space="preserve"> </w:t>
      </w:r>
    </w:p>
    <w:p w14:paraId="14CEEC81"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Russell Masterton</w:t>
      </w:r>
      <w:r w:rsidRPr="00865180">
        <w:rPr>
          <w:rFonts w:asciiTheme="majorHAnsi" w:hAnsiTheme="majorHAnsi" w:cs="Verdana"/>
          <w:sz w:val="22"/>
          <w:szCs w:val="22"/>
        </w:rPr>
        <w:t>)</w:t>
      </w:r>
    </w:p>
    <w:p w14:paraId="6153C529"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Victorian Farmers Federation</w:t>
      </w:r>
      <w:r>
        <w:rPr>
          <w:rFonts w:asciiTheme="majorHAnsi" w:hAnsiTheme="majorHAnsi" w:cs="Verdana"/>
          <w:sz w:val="22"/>
          <w:szCs w:val="22"/>
        </w:rPr>
        <w:t xml:space="preserve"> </w:t>
      </w:r>
    </w:p>
    <w:p w14:paraId="65BFADDA"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Adult Community and Further Education (ACFE) Board</w:t>
      </w:r>
    </w:p>
    <w:p w14:paraId="057D7CFC"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Upper Yarra Community House Inc</w:t>
      </w:r>
      <w:r w:rsidRPr="00865180">
        <w:rPr>
          <w:rFonts w:asciiTheme="majorHAnsi" w:hAnsiTheme="majorHAnsi" w:cs="Verdana"/>
          <w:sz w:val="22"/>
          <w:szCs w:val="22"/>
        </w:rPr>
        <w:t xml:space="preserve"> </w:t>
      </w:r>
    </w:p>
    <w:p w14:paraId="3A307B88"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YHN Services</w:t>
      </w:r>
      <w:r w:rsidRPr="00865180">
        <w:rPr>
          <w:rFonts w:asciiTheme="majorHAnsi" w:hAnsiTheme="majorHAnsi" w:cs="Verdana"/>
          <w:sz w:val="22"/>
          <w:szCs w:val="22"/>
        </w:rPr>
        <w:t xml:space="preserve"> </w:t>
      </w:r>
    </w:p>
    <w:p w14:paraId="70FFDBC8"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Corporate Partners</w:t>
      </w:r>
      <w:r w:rsidRPr="00865180">
        <w:rPr>
          <w:rFonts w:asciiTheme="majorHAnsi" w:hAnsiTheme="majorHAnsi" w:cs="Verdana"/>
          <w:sz w:val="22"/>
          <w:szCs w:val="22"/>
        </w:rPr>
        <w:t xml:space="preserve"> </w:t>
      </w:r>
    </w:p>
    <w:p w14:paraId="229F7D85"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The Victorian Automobile Chamber of Commerce (VACC)</w:t>
      </w:r>
      <w:r w:rsidRPr="00865180">
        <w:rPr>
          <w:rFonts w:asciiTheme="majorHAnsi" w:hAnsiTheme="majorHAnsi" w:cs="Verdana"/>
          <w:sz w:val="22"/>
          <w:szCs w:val="22"/>
        </w:rPr>
        <w:t xml:space="preserve"> </w:t>
      </w:r>
    </w:p>
    <w:p w14:paraId="5B9F2684"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Brotherhood of St Laurence</w:t>
      </w:r>
    </w:p>
    <w:p w14:paraId="03956F92"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Erin Adams</w:t>
      </w:r>
    </w:p>
    <w:p w14:paraId="16E5F0CF"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Inner Eastern Local Learning Employment Network</w:t>
      </w:r>
    </w:p>
    <w:p w14:paraId="0E53F498"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Springvale Learning and Activities Centre Inc.</w:t>
      </w:r>
    </w:p>
    <w:p w14:paraId="45DB11F5"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Confidential Submission</w:t>
      </w:r>
    </w:p>
    <w:p w14:paraId="004CBA53" w14:textId="77777777" w:rsidR="004A1E65" w:rsidRPr="00865180" w:rsidRDefault="004A1E65" w:rsidP="004A1E65">
      <w:pPr>
        <w:pStyle w:val="ListParagraph"/>
        <w:widowControl w:val="0"/>
        <w:numPr>
          <w:ilvl w:val="0"/>
          <w:numId w:val="10"/>
        </w:numPr>
        <w:tabs>
          <w:tab w:val="left" w:pos="16146"/>
          <w:tab w:val="left" w:pos="28272"/>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Inclusion Melbourne</w:t>
      </w:r>
    </w:p>
    <w:p w14:paraId="1A94BF39"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Holmesglen</w:t>
      </w:r>
    </w:p>
    <w:p w14:paraId="5778A29B"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Association of Neighbourhood Houses and Learning Centres (ANHLC)</w:t>
      </w:r>
    </w:p>
    <w:p w14:paraId="4A0305A8"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Glenroy Neighbourhood Learning Centre</w:t>
      </w:r>
    </w:p>
    <w:p w14:paraId="70FCD8EB"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Gavin Moodie</w:t>
      </w:r>
    </w:p>
    <w:p w14:paraId="2F1A95E0"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BRACE</w:t>
      </w:r>
    </w:p>
    <w:p w14:paraId="29F4786F"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Victorian Tafe Association</w:t>
      </w:r>
    </w:p>
    <w:p w14:paraId="22BD0DCC"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RMIT</w:t>
      </w:r>
    </w:p>
    <w:p w14:paraId="49C70BEC"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Building Industry Consultative Council Industry Advisory Body</w:t>
      </w:r>
    </w:p>
    <w:p w14:paraId="74213B24"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Holden Street Neighbourhood House</w:t>
      </w:r>
    </w:p>
    <w:p w14:paraId="39E6CF30"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Careers Australia</w:t>
      </w:r>
    </w:p>
    <w:p w14:paraId="66A728B2"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Majorie Milner College</w:t>
      </w:r>
    </w:p>
    <w:p w14:paraId="35D120B6"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Volunteer Fire Brigade Victoria</w:t>
      </w:r>
      <w:r w:rsidRPr="00865180">
        <w:rPr>
          <w:rFonts w:asciiTheme="majorHAnsi" w:hAnsiTheme="majorHAnsi" w:cs="Verdana"/>
          <w:sz w:val="22"/>
          <w:szCs w:val="22"/>
        </w:rPr>
        <w:tab/>
        <w:t xml:space="preserve"> (268k)</w:t>
      </w:r>
    </w:p>
    <w:p w14:paraId="32E0BD1C"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Sunraysia Institute</w:t>
      </w:r>
    </w:p>
    <w:p w14:paraId="72C3B096"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University of Ballarat</w:t>
      </w:r>
    </w:p>
    <w:p w14:paraId="585A6D64"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Courthouse Community Centre</w:t>
      </w:r>
    </w:p>
    <w:p w14:paraId="20237BC2"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Victorian Food Industry Training Board</w:t>
      </w:r>
    </w:p>
    <w:p w14:paraId="0C4F8092"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Thinkwest Cluster</w:t>
      </w:r>
    </w:p>
    <w:p w14:paraId="61041244"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Australian Education Union - Victorian Branch</w:t>
      </w:r>
      <w:r>
        <w:rPr>
          <w:rFonts w:asciiTheme="majorHAnsi" w:hAnsiTheme="majorHAnsi" w:cs="Verdana"/>
          <w:bCs/>
          <w:sz w:val="22"/>
          <w:szCs w:val="22"/>
          <w:u w:color="1F4E8C"/>
        </w:rPr>
        <w:t xml:space="preserve"> </w:t>
      </w:r>
    </w:p>
    <w:p w14:paraId="743DA180" w14:textId="77777777" w:rsidR="004A1E65" w:rsidRPr="00865180" w:rsidRDefault="004A1E65" w:rsidP="004A1E65">
      <w:pPr>
        <w:pStyle w:val="ListParagraph"/>
        <w:widowControl w:val="0"/>
        <w:numPr>
          <w:ilvl w:val="0"/>
          <w:numId w:val="10"/>
        </w:numPr>
        <w:tabs>
          <w:tab w:val="left" w:pos="16980"/>
          <w:tab w:val="left" w:pos="289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Victorian Technical Education</w:t>
      </w:r>
    </w:p>
    <w:p w14:paraId="7B69B3CB"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Automotive Training Victoria</w:t>
      </w:r>
    </w:p>
    <w:p w14:paraId="21235C2C"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Dairy Industry</w:t>
      </w:r>
    </w:p>
    <w:p w14:paraId="6493CD56"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Northern Melbourne Institute of TAFE</w:t>
      </w:r>
    </w:p>
    <w:p w14:paraId="153955C7"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Carter Holt Harvey</w:t>
      </w:r>
    </w:p>
    <w:p w14:paraId="539C7E98"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Gippsland Local Government Network Secretariat</w:t>
      </w:r>
    </w:p>
    <w:p w14:paraId="35B17C1D"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Primary Skills Victoria</w:t>
      </w:r>
    </w:p>
    <w:p w14:paraId="74F337C7"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Otway Community College</w:t>
      </w:r>
    </w:p>
    <w:p w14:paraId="31AFC5EE"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Campaspe College of Adult Education</w:t>
      </w:r>
    </w:p>
    <w:p w14:paraId="3F490005" w14:textId="77777777" w:rsidR="004A1E65" w:rsidRPr="00865180" w:rsidRDefault="00C05F6A"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hyperlink r:id="rId9" w:history="1">
        <w:r w:rsidR="004A1E65" w:rsidRPr="00865180">
          <w:rPr>
            <w:rFonts w:asciiTheme="majorHAnsi" w:hAnsiTheme="majorHAnsi" w:cs="Verdana"/>
            <w:bCs/>
            <w:sz w:val="22"/>
            <w:szCs w:val="22"/>
            <w:u w:color="1F4E8C"/>
          </w:rPr>
          <w:t>Odyssey House</w:t>
        </w:r>
      </w:hyperlink>
    </w:p>
    <w:p w14:paraId="6E92A15F"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Community College Gippsland</w:t>
      </w:r>
    </w:p>
    <w:p w14:paraId="0A45A663"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Australian Education Union - Victorian Branch</w:t>
      </w:r>
    </w:p>
    <w:p w14:paraId="2D0CD498"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Housing Industry Association</w:t>
      </w:r>
    </w:p>
    <w:p w14:paraId="6044A0A3"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Forestworks</w:t>
      </w:r>
    </w:p>
    <w:p w14:paraId="43D369C0"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National Centre for Vocational Education Research</w:t>
      </w:r>
    </w:p>
    <w:p w14:paraId="208CD11B"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Leigh Cook</w:t>
      </w:r>
    </w:p>
    <w:p w14:paraId="553EB0EE"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Rowville Secondary College</w:t>
      </w:r>
    </w:p>
    <w:p w14:paraId="6116762C"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Victorian State Agriculture Provider Network</w:t>
      </w:r>
    </w:p>
    <w:p w14:paraId="35C05C6A"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Australian Council for Private Education Training</w:t>
      </w:r>
    </w:p>
    <w:p w14:paraId="2FA60D99"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Shearer Woolhandler Training</w:t>
      </w:r>
    </w:p>
    <w:p w14:paraId="10647E2D" w14:textId="77777777" w:rsidR="004A1E65" w:rsidRPr="00865180" w:rsidRDefault="004A1E65" w:rsidP="004A1E65">
      <w:pPr>
        <w:pStyle w:val="ListParagraph"/>
        <w:widowControl w:val="0"/>
        <w:numPr>
          <w:ilvl w:val="0"/>
          <w:numId w:val="10"/>
        </w:numPr>
        <w:tabs>
          <w:tab w:val="left" w:pos="15380"/>
          <w:tab w:val="left" w:pos="28108"/>
        </w:tabs>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AgriFood Skills Australia</w:t>
      </w:r>
    </w:p>
    <w:p w14:paraId="7A4944C8" w14:textId="77777777" w:rsidR="004A1E65" w:rsidRPr="00865180" w:rsidRDefault="004A1E65" w:rsidP="004A1E65">
      <w:pPr>
        <w:pStyle w:val="ListParagraph"/>
        <w:widowControl w:val="0"/>
        <w:numPr>
          <w:ilvl w:val="0"/>
          <w:numId w:val="10"/>
        </w:numPr>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Albury Wodonga Community College</w:t>
      </w:r>
    </w:p>
    <w:p w14:paraId="67E0B4F3" w14:textId="77777777" w:rsidR="004A1E65" w:rsidRPr="00865180" w:rsidRDefault="004A1E65" w:rsidP="004A1E65">
      <w:pPr>
        <w:pStyle w:val="ListParagraph"/>
        <w:widowControl w:val="0"/>
        <w:numPr>
          <w:ilvl w:val="0"/>
          <w:numId w:val="10"/>
        </w:numPr>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National Meat Industry Training Advisory Council Limited</w:t>
      </w:r>
    </w:p>
    <w:p w14:paraId="328AB7B4" w14:textId="77777777" w:rsidR="004A1E65" w:rsidRPr="00865180" w:rsidRDefault="004A1E65" w:rsidP="004A1E65">
      <w:pPr>
        <w:pStyle w:val="ListParagraph"/>
        <w:widowControl w:val="0"/>
        <w:numPr>
          <w:ilvl w:val="0"/>
          <w:numId w:val="10"/>
        </w:numPr>
        <w:autoSpaceDE w:val="0"/>
        <w:autoSpaceDN w:val="0"/>
        <w:adjustRightInd w:val="0"/>
        <w:rPr>
          <w:rFonts w:asciiTheme="majorHAnsi" w:hAnsiTheme="majorHAnsi" w:cs="Verdana"/>
          <w:sz w:val="22"/>
          <w:szCs w:val="22"/>
        </w:rPr>
      </w:pPr>
      <w:r w:rsidRPr="00865180">
        <w:rPr>
          <w:rFonts w:asciiTheme="majorHAnsi" w:hAnsiTheme="majorHAnsi" w:cs="Verdana"/>
          <w:bCs/>
          <w:sz w:val="22"/>
          <w:szCs w:val="22"/>
          <w:u w:color="1F4E8C"/>
        </w:rPr>
        <w:t>GoTAFES</w:t>
      </w:r>
    </w:p>
    <w:p w14:paraId="0EB63DAD" w14:textId="77777777" w:rsidR="004A1E65" w:rsidRPr="00865180" w:rsidRDefault="004A1E65" w:rsidP="004A1E65">
      <w:pPr>
        <w:widowControl w:val="0"/>
        <w:autoSpaceDE w:val="0"/>
        <w:autoSpaceDN w:val="0"/>
        <w:adjustRightInd w:val="0"/>
        <w:rPr>
          <w:rFonts w:asciiTheme="majorHAnsi" w:hAnsiTheme="majorHAnsi" w:cs="Verdana"/>
          <w:sz w:val="22"/>
          <w:szCs w:val="22"/>
        </w:rPr>
      </w:pPr>
    </w:p>
    <w:p w14:paraId="0068BBB1" w14:textId="77777777" w:rsidR="004A1E65" w:rsidRPr="00865180" w:rsidRDefault="004A1E65" w:rsidP="004A1E65">
      <w:pPr>
        <w:rPr>
          <w:rFonts w:asciiTheme="majorHAnsi" w:hAnsiTheme="majorHAnsi"/>
          <w:sz w:val="22"/>
        </w:rPr>
      </w:pPr>
    </w:p>
    <w:p w14:paraId="4CF51E5C" w14:textId="77777777" w:rsidR="004A1E65" w:rsidRPr="00865180" w:rsidRDefault="004A1E65" w:rsidP="004A1E65">
      <w:pPr>
        <w:rPr>
          <w:rFonts w:asciiTheme="majorHAnsi" w:hAnsiTheme="majorHAnsi"/>
          <w:sz w:val="22"/>
        </w:rPr>
      </w:pPr>
      <w:r>
        <w:rPr>
          <w:rFonts w:asciiTheme="majorHAnsi" w:hAnsiTheme="majorHAnsi"/>
          <w:sz w:val="22"/>
        </w:rPr>
        <w:t>All submissions accessed and downloaded on the 18</w:t>
      </w:r>
      <w:r w:rsidRPr="00865180">
        <w:rPr>
          <w:rFonts w:asciiTheme="majorHAnsi" w:hAnsiTheme="majorHAnsi"/>
          <w:sz w:val="22"/>
          <w:vertAlign w:val="superscript"/>
        </w:rPr>
        <w:t>th</w:t>
      </w:r>
      <w:r>
        <w:rPr>
          <w:rFonts w:asciiTheme="majorHAnsi" w:hAnsiTheme="majorHAnsi"/>
          <w:sz w:val="22"/>
        </w:rPr>
        <w:t xml:space="preserve"> December 2011 from </w:t>
      </w:r>
      <w:r w:rsidRPr="00865180">
        <w:rPr>
          <w:rFonts w:asciiTheme="majorHAnsi" w:hAnsiTheme="majorHAnsi"/>
          <w:sz w:val="22"/>
        </w:rPr>
        <w:t>http://www.esc.vic.gov.au/ESC/Templates/Consultatio</w:t>
      </w:r>
      <w:r>
        <w:rPr>
          <w:rFonts w:asciiTheme="majorHAnsi" w:hAnsiTheme="majorHAnsi"/>
          <w:sz w:val="22"/>
        </w:rPr>
        <w:t>ns/ConsultationSubmissions.aspx</w:t>
      </w:r>
    </w:p>
    <w:p w14:paraId="729A9DF1" w14:textId="77777777" w:rsidR="000D7D05" w:rsidRDefault="000D7D05" w:rsidP="00570190">
      <w:pPr>
        <w:rPr>
          <w:rFonts w:asciiTheme="majorHAnsi" w:hAnsiTheme="majorHAnsi" w:cs="Times New Roman"/>
          <w:color w:val="000000"/>
        </w:rPr>
      </w:pPr>
    </w:p>
    <w:sectPr w:rsidR="000D7D05" w:rsidSect="00504970">
      <w:footerReference w:type="even" r:id="rId1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2F26" w14:textId="77777777" w:rsidR="00681966" w:rsidRDefault="00681966">
      <w:r>
        <w:separator/>
      </w:r>
    </w:p>
  </w:endnote>
  <w:endnote w:type="continuationSeparator" w:id="0">
    <w:p w14:paraId="2CF848A2" w14:textId="77777777" w:rsidR="00681966" w:rsidRDefault="0068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talicM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78BB" w14:textId="77777777" w:rsidR="00681966" w:rsidRDefault="00681966" w:rsidP="007A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D76B9" w14:textId="77777777" w:rsidR="00681966" w:rsidRDefault="00681966" w:rsidP="005F76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FADE" w14:textId="73CF88C3" w:rsidR="00681966" w:rsidRDefault="00681966" w:rsidP="007A3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5F6A">
      <w:rPr>
        <w:rStyle w:val="PageNumber"/>
        <w:noProof/>
      </w:rPr>
      <w:t>1</w:t>
    </w:r>
    <w:r>
      <w:rPr>
        <w:rStyle w:val="PageNumber"/>
      </w:rPr>
      <w:fldChar w:fldCharType="end"/>
    </w:r>
  </w:p>
  <w:p w14:paraId="4928DFB4" w14:textId="77777777" w:rsidR="00681966" w:rsidRDefault="00681966" w:rsidP="005F76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E49F" w14:textId="77777777" w:rsidR="00681966" w:rsidRDefault="00681966">
      <w:r>
        <w:separator/>
      </w:r>
    </w:p>
  </w:footnote>
  <w:footnote w:type="continuationSeparator" w:id="0">
    <w:p w14:paraId="4F3E8576" w14:textId="77777777" w:rsidR="00681966" w:rsidRDefault="00681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35D5"/>
    <w:multiLevelType w:val="hybridMultilevel"/>
    <w:tmpl w:val="E11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6BC"/>
    <w:multiLevelType w:val="hybridMultilevel"/>
    <w:tmpl w:val="D9124282"/>
    <w:lvl w:ilvl="0" w:tplc="480A1688">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07AD8"/>
    <w:multiLevelType w:val="hybridMultilevel"/>
    <w:tmpl w:val="FE6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D3141"/>
    <w:multiLevelType w:val="hybridMultilevel"/>
    <w:tmpl w:val="83B0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F5534"/>
    <w:multiLevelType w:val="hybridMultilevel"/>
    <w:tmpl w:val="D13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C27E7"/>
    <w:multiLevelType w:val="hybridMultilevel"/>
    <w:tmpl w:val="E928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1058"/>
    <w:multiLevelType w:val="hybridMultilevel"/>
    <w:tmpl w:val="4C1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83F8D"/>
    <w:multiLevelType w:val="hybridMultilevel"/>
    <w:tmpl w:val="92380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051CC"/>
    <w:multiLevelType w:val="hybridMultilevel"/>
    <w:tmpl w:val="92BCD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5D6D"/>
    <w:multiLevelType w:val="hybridMultilevel"/>
    <w:tmpl w:val="D7B2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5"/>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70"/>
    <w:rsid w:val="0001561B"/>
    <w:rsid w:val="000D011C"/>
    <w:rsid w:val="000D1E39"/>
    <w:rsid w:val="000D7D05"/>
    <w:rsid w:val="00104C84"/>
    <w:rsid w:val="00146835"/>
    <w:rsid w:val="00152561"/>
    <w:rsid w:val="00160699"/>
    <w:rsid w:val="001847A6"/>
    <w:rsid w:val="0018544A"/>
    <w:rsid w:val="001C4D6C"/>
    <w:rsid w:val="00221053"/>
    <w:rsid w:val="002267E5"/>
    <w:rsid w:val="00244DDD"/>
    <w:rsid w:val="00253A4D"/>
    <w:rsid w:val="00254ED3"/>
    <w:rsid w:val="00270CA5"/>
    <w:rsid w:val="00275F97"/>
    <w:rsid w:val="002C0E6B"/>
    <w:rsid w:val="002E27D7"/>
    <w:rsid w:val="00325BD2"/>
    <w:rsid w:val="00330656"/>
    <w:rsid w:val="003A2D22"/>
    <w:rsid w:val="003B2267"/>
    <w:rsid w:val="003B4E69"/>
    <w:rsid w:val="003E21DD"/>
    <w:rsid w:val="003F4B4C"/>
    <w:rsid w:val="00415483"/>
    <w:rsid w:val="00422084"/>
    <w:rsid w:val="00443CD6"/>
    <w:rsid w:val="00446384"/>
    <w:rsid w:val="0045291A"/>
    <w:rsid w:val="00461379"/>
    <w:rsid w:val="004A1E65"/>
    <w:rsid w:val="004C0438"/>
    <w:rsid w:val="004F40D4"/>
    <w:rsid w:val="00504970"/>
    <w:rsid w:val="0052799B"/>
    <w:rsid w:val="00537B20"/>
    <w:rsid w:val="00570190"/>
    <w:rsid w:val="005A3D64"/>
    <w:rsid w:val="005F76B9"/>
    <w:rsid w:val="00681966"/>
    <w:rsid w:val="006C419B"/>
    <w:rsid w:val="007217DE"/>
    <w:rsid w:val="00731147"/>
    <w:rsid w:val="00760A7F"/>
    <w:rsid w:val="007A37BF"/>
    <w:rsid w:val="007E63CD"/>
    <w:rsid w:val="007F36CE"/>
    <w:rsid w:val="007F595F"/>
    <w:rsid w:val="007F62FD"/>
    <w:rsid w:val="00800616"/>
    <w:rsid w:val="00857E04"/>
    <w:rsid w:val="00881AA6"/>
    <w:rsid w:val="008F4BBD"/>
    <w:rsid w:val="00926173"/>
    <w:rsid w:val="00936BC4"/>
    <w:rsid w:val="009378E2"/>
    <w:rsid w:val="009578E0"/>
    <w:rsid w:val="00980064"/>
    <w:rsid w:val="009D10A9"/>
    <w:rsid w:val="009D3F35"/>
    <w:rsid w:val="00A22A32"/>
    <w:rsid w:val="00A35205"/>
    <w:rsid w:val="00A428B7"/>
    <w:rsid w:val="00A44D91"/>
    <w:rsid w:val="00A5100E"/>
    <w:rsid w:val="00A526F4"/>
    <w:rsid w:val="00A571B7"/>
    <w:rsid w:val="00AB238D"/>
    <w:rsid w:val="00AD4D09"/>
    <w:rsid w:val="00AD5EF9"/>
    <w:rsid w:val="00AD6CDF"/>
    <w:rsid w:val="00AE20FF"/>
    <w:rsid w:val="00B04AAF"/>
    <w:rsid w:val="00B133BA"/>
    <w:rsid w:val="00B17F9D"/>
    <w:rsid w:val="00B4158F"/>
    <w:rsid w:val="00B738F0"/>
    <w:rsid w:val="00B83500"/>
    <w:rsid w:val="00B9012D"/>
    <w:rsid w:val="00BC1AF6"/>
    <w:rsid w:val="00BD234D"/>
    <w:rsid w:val="00BE2B22"/>
    <w:rsid w:val="00BF530E"/>
    <w:rsid w:val="00C03392"/>
    <w:rsid w:val="00C05F6A"/>
    <w:rsid w:val="00C54AF2"/>
    <w:rsid w:val="00C65BC9"/>
    <w:rsid w:val="00CA3D37"/>
    <w:rsid w:val="00CD63E6"/>
    <w:rsid w:val="00CE2105"/>
    <w:rsid w:val="00CF3B65"/>
    <w:rsid w:val="00D06BC7"/>
    <w:rsid w:val="00D577E1"/>
    <w:rsid w:val="00D71A82"/>
    <w:rsid w:val="00DE1A6D"/>
    <w:rsid w:val="00E506BB"/>
    <w:rsid w:val="00EB3404"/>
    <w:rsid w:val="00EC73D9"/>
    <w:rsid w:val="00EE7494"/>
    <w:rsid w:val="00F05E69"/>
    <w:rsid w:val="00F12C6B"/>
    <w:rsid w:val="00F15BF7"/>
    <w:rsid w:val="00F24A38"/>
    <w:rsid w:val="00F61C2B"/>
    <w:rsid w:val="00FB61FA"/>
    <w:rsid w:val="00FB69B7"/>
    <w:rsid w:val="00FC3EF3"/>
    <w:rsid w:val="00FC6908"/>
    <w:rsid w:val="00FD2348"/>
    <w:rsid w:val="00FD4068"/>
    <w:rsid w:val="00FD7F5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67D19"/>
  <w15:docId w15:val="{031F1748-E2C4-469D-A99A-91711996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Text"/>
    <w:link w:val="Heading2Char"/>
    <w:qFormat/>
    <w:rsid w:val="00EC73D9"/>
    <w:pPr>
      <w:keepNext/>
      <w:spacing w:before="440"/>
      <w:outlineLvl w:val="1"/>
    </w:pPr>
    <w:rPr>
      <w:rFonts w:ascii="Garamond" w:eastAsia="Times New Roman" w:hAnsi="Garamond" w:cs="Times New Roman"/>
      <w:sz w:val="36"/>
      <w:szCs w:val="20"/>
      <w:lang w:val="en-AU" w:eastAsia="en-AU"/>
    </w:rPr>
  </w:style>
  <w:style w:type="paragraph" w:styleId="Heading9">
    <w:name w:val="heading 9"/>
    <w:basedOn w:val="Normal"/>
    <w:next w:val="Normal"/>
    <w:link w:val="Heading9Char"/>
    <w:qFormat/>
    <w:rsid w:val="00EC73D9"/>
    <w:pPr>
      <w:keepNext/>
      <w:spacing w:before="120"/>
      <w:jc w:val="center"/>
      <w:outlineLvl w:val="8"/>
    </w:pPr>
    <w:rPr>
      <w:rFonts w:ascii="Verdana" w:eastAsia="Times New Roman" w:hAnsi="Verdana"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61C2B"/>
    <w:pPr>
      <w:ind w:left="720"/>
      <w:contextualSpacing/>
    </w:pPr>
  </w:style>
  <w:style w:type="paragraph" w:styleId="Footer">
    <w:name w:val="footer"/>
    <w:basedOn w:val="Normal"/>
    <w:link w:val="FooterChar"/>
    <w:rsid w:val="005F76B9"/>
    <w:pPr>
      <w:tabs>
        <w:tab w:val="center" w:pos="4320"/>
        <w:tab w:val="right" w:pos="8640"/>
      </w:tabs>
    </w:pPr>
  </w:style>
  <w:style w:type="character" w:customStyle="1" w:styleId="FooterChar">
    <w:name w:val="Footer Char"/>
    <w:basedOn w:val="DefaultParagraphFont"/>
    <w:link w:val="Footer"/>
    <w:rsid w:val="005F76B9"/>
    <w:rPr>
      <w:lang w:val="en-AU"/>
    </w:rPr>
  </w:style>
  <w:style w:type="character" w:styleId="PageNumber">
    <w:name w:val="page number"/>
    <w:basedOn w:val="DefaultParagraphFont"/>
    <w:rsid w:val="005F76B9"/>
  </w:style>
  <w:style w:type="character" w:customStyle="1" w:styleId="Heading2Char">
    <w:name w:val="Heading 2 Char"/>
    <w:basedOn w:val="DefaultParagraphFont"/>
    <w:link w:val="Heading2"/>
    <w:rsid w:val="00EC73D9"/>
    <w:rPr>
      <w:rFonts w:ascii="Garamond" w:eastAsia="Times New Roman" w:hAnsi="Garamond" w:cs="Times New Roman"/>
      <w:sz w:val="36"/>
      <w:szCs w:val="20"/>
      <w:lang w:val="en-AU" w:eastAsia="en-AU"/>
    </w:rPr>
  </w:style>
  <w:style w:type="character" w:customStyle="1" w:styleId="Heading9Char">
    <w:name w:val="Heading 9 Char"/>
    <w:basedOn w:val="DefaultParagraphFont"/>
    <w:link w:val="Heading9"/>
    <w:rsid w:val="00EC73D9"/>
    <w:rPr>
      <w:rFonts w:ascii="Verdana" w:eastAsia="Times New Roman" w:hAnsi="Verdana" w:cs="Times New Roman"/>
      <w:b/>
      <w:sz w:val="20"/>
      <w:szCs w:val="20"/>
      <w:lang w:val="en-AU" w:eastAsia="en-AU"/>
    </w:rPr>
  </w:style>
  <w:style w:type="paragraph" w:customStyle="1" w:styleId="Text">
    <w:name w:val="Text"/>
    <w:rsid w:val="00EC73D9"/>
    <w:pPr>
      <w:spacing w:before="200" w:line="260" w:lineRule="exact"/>
    </w:pPr>
    <w:rPr>
      <w:rFonts w:ascii="Garamond" w:eastAsia="Times New Roman" w:hAnsi="Garamond" w:cs="Times New Roman"/>
      <w:sz w:val="22"/>
      <w:szCs w:val="20"/>
      <w:lang w:val="en-AU" w:eastAsia="en-AU"/>
    </w:rPr>
  </w:style>
  <w:style w:type="paragraph" w:styleId="BalloonText">
    <w:name w:val="Balloon Text"/>
    <w:basedOn w:val="Normal"/>
    <w:link w:val="BalloonTextChar"/>
    <w:rsid w:val="00FB69B7"/>
    <w:rPr>
      <w:rFonts w:ascii="Lucida Grande" w:hAnsi="Lucida Grande"/>
      <w:sz w:val="18"/>
      <w:szCs w:val="18"/>
    </w:rPr>
  </w:style>
  <w:style w:type="character" w:customStyle="1" w:styleId="BalloonTextChar">
    <w:name w:val="Balloon Text Char"/>
    <w:basedOn w:val="DefaultParagraphFont"/>
    <w:link w:val="BalloonText"/>
    <w:rsid w:val="00FB69B7"/>
    <w:rPr>
      <w:rFonts w:ascii="Lucida Grande" w:hAnsi="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NR/rdonlyres/218B25B6-B7F5-4186-BB1E-3F1FA470465C/0/GaryBuckeridg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c.vic.gov.au/NR/rdonlyres/A495A2BB-BCB7-494D-9B58-5F9CA7EE4E65/0/OdysseyHouse.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ADB68-C47C-4397-8BD9-EBEEFE2425EE}"/>
</file>

<file path=customXml/itemProps2.xml><?xml version="1.0" encoding="utf-8"?>
<ds:datastoreItem xmlns:ds="http://schemas.openxmlformats.org/officeDocument/2006/customXml" ds:itemID="{68CB22AE-AD44-49C4-B3F3-B218D54B85B6}"/>
</file>

<file path=customXml/itemProps3.xml><?xml version="1.0" encoding="utf-8"?>
<ds:datastoreItem xmlns:ds="http://schemas.openxmlformats.org/officeDocument/2006/customXml" ds:itemID="{A254CE52-EEE1-4B55-BE42-2FDDC2AC8F00}"/>
</file>

<file path=docProps/app.xml><?xml version="1.0" encoding="utf-8"?>
<Properties xmlns="http://schemas.openxmlformats.org/officeDocument/2006/extended-properties" xmlns:vt="http://schemas.openxmlformats.org/officeDocument/2006/docPropsVTypes">
  <Template>Normal</Template>
  <TotalTime>0</TotalTime>
  <Pages>9</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Education</dc:creator>
  <cp:keywords/>
  <cp:lastModifiedBy>Alicia Child</cp:lastModifiedBy>
  <cp:revision>2</cp:revision>
  <cp:lastPrinted>2012-02-21T01:09:00Z</cp:lastPrinted>
  <dcterms:created xsi:type="dcterms:W3CDTF">2016-11-29T05:55:00Z</dcterms:created>
  <dcterms:modified xsi:type="dcterms:W3CDTF">2016-11-29T05:55:00Z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