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2C" w:rsidRPr="00BA13EC" w:rsidRDefault="003E002C" w:rsidP="000B2D7A">
      <w:pPr>
        <w:jc w:val="center"/>
        <w:rPr>
          <w:rFonts w:ascii="Times New Roman" w:hAnsi="Times New Roman" w:cs="Times New Roman"/>
          <w:b/>
          <w:sz w:val="28"/>
          <w:szCs w:val="28"/>
        </w:rPr>
      </w:pPr>
      <w:bookmarkStart w:id="0" w:name="_GoBack"/>
      <w:bookmarkEnd w:id="0"/>
      <w:r w:rsidRPr="00BA13EC">
        <w:rPr>
          <w:rFonts w:ascii="Times New Roman" w:hAnsi="Times New Roman" w:cs="Times New Roman"/>
          <w:b/>
          <w:sz w:val="28"/>
          <w:szCs w:val="28"/>
        </w:rPr>
        <w:t>What does VET bring to higher education that is distinctive?</w:t>
      </w:r>
    </w:p>
    <w:p w:rsidR="000B2D7A" w:rsidRPr="00BA13EC" w:rsidRDefault="000B2D7A" w:rsidP="000B2D7A">
      <w:pPr>
        <w:jc w:val="center"/>
        <w:rPr>
          <w:rFonts w:ascii="Times New Roman" w:hAnsi="Times New Roman" w:cs="Times New Roman"/>
          <w:i/>
          <w:sz w:val="24"/>
          <w:szCs w:val="24"/>
        </w:rPr>
      </w:pPr>
      <w:r w:rsidRPr="00BA13EC">
        <w:rPr>
          <w:rFonts w:ascii="Times New Roman" w:hAnsi="Times New Roman" w:cs="Times New Roman"/>
          <w:i/>
          <w:sz w:val="24"/>
          <w:szCs w:val="24"/>
        </w:rPr>
        <w:t xml:space="preserve">Steven </w:t>
      </w:r>
      <w:r w:rsidR="00774059" w:rsidRPr="00BA13EC">
        <w:rPr>
          <w:rFonts w:ascii="Times New Roman" w:hAnsi="Times New Roman" w:cs="Times New Roman"/>
          <w:i/>
          <w:sz w:val="24"/>
          <w:szCs w:val="24"/>
        </w:rPr>
        <w:t xml:space="preserve">Hodge, </w:t>
      </w:r>
      <w:r w:rsidRPr="00BA13EC">
        <w:rPr>
          <w:rFonts w:ascii="Times New Roman" w:hAnsi="Times New Roman" w:cs="Times New Roman"/>
          <w:i/>
          <w:sz w:val="24"/>
          <w:szCs w:val="24"/>
        </w:rPr>
        <w:t>Griffith University</w:t>
      </w:r>
      <w:r w:rsidR="00D03C1B" w:rsidRPr="00BA13EC">
        <w:rPr>
          <w:rFonts w:ascii="Times New Roman" w:hAnsi="Times New Roman" w:cs="Times New Roman"/>
          <w:i/>
          <w:sz w:val="24"/>
          <w:szCs w:val="24"/>
        </w:rPr>
        <w:t xml:space="preserve"> </w:t>
      </w:r>
    </w:p>
    <w:p w:rsidR="000B2D7A" w:rsidRPr="00BA13EC" w:rsidRDefault="000B2D7A" w:rsidP="000B2D7A">
      <w:pPr>
        <w:jc w:val="center"/>
        <w:rPr>
          <w:rFonts w:ascii="Times New Roman" w:hAnsi="Times New Roman" w:cs="Times New Roman"/>
          <w:i/>
          <w:sz w:val="24"/>
          <w:szCs w:val="24"/>
        </w:rPr>
      </w:pPr>
      <w:r w:rsidRPr="00BA13EC">
        <w:rPr>
          <w:rFonts w:ascii="Times New Roman" w:hAnsi="Times New Roman" w:cs="Times New Roman"/>
          <w:i/>
          <w:sz w:val="24"/>
          <w:szCs w:val="24"/>
        </w:rPr>
        <w:t xml:space="preserve">Shaun </w:t>
      </w:r>
      <w:r w:rsidR="00774059" w:rsidRPr="00BA13EC">
        <w:rPr>
          <w:rFonts w:ascii="Times New Roman" w:hAnsi="Times New Roman" w:cs="Times New Roman"/>
          <w:i/>
          <w:sz w:val="24"/>
          <w:szCs w:val="24"/>
        </w:rPr>
        <w:t xml:space="preserve">Rawolle, </w:t>
      </w:r>
      <w:r w:rsidRPr="00BA13EC">
        <w:rPr>
          <w:rFonts w:ascii="Times New Roman" w:hAnsi="Times New Roman" w:cs="Times New Roman"/>
          <w:i/>
          <w:sz w:val="24"/>
          <w:szCs w:val="24"/>
        </w:rPr>
        <w:t>Deakin University</w:t>
      </w:r>
      <w:r w:rsidR="00D03C1B" w:rsidRPr="00BA13EC">
        <w:rPr>
          <w:rFonts w:ascii="Times New Roman" w:hAnsi="Times New Roman" w:cs="Times New Roman"/>
          <w:i/>
          <w:sz w:val="24"/>
          <w:szCs w:val="24"/>
        </w:rPr>
        <w:t xml:space="preserve"> </w:t>
      </w:r>
    </w:p>
    <w:p w:rsidR="000B2D7A" w:rsidRPr="00BA13EC" w:rsidRDefault="000B2D7A" w:rsidP="000B2D7A">
      <w:pPr>
        <w:jc w:val="center"/>
        <w:rPr>
          <w:rFonts w:ascii="Times New Roman" w:hAnsi="Times New Roman" w:cs="Times New Roman"/>
          <w:i/>
          <w:sz w:val="24"/>
          <w:szCs w:val="24"/>
        </w:rPr>
      </w:pPr>
      <w:r w:rsidRPr="00BA13EC">
        <w:rPr>
          <w:rFonts w:ascii="Times New Roman" w:hAnsi="Times New Roman" w:cs="Times New Roman"/>
          <w:i/>
          <w:sz w:val="24"/>
          <w:szCs w:val="24"/>
        </w:rPr>
        <w:t xml:space="preserve">Sue </w:t>
      </w:r>
      <w:r w:rsidR="00774059" w:rsidRPr="00BA13EC">
        <w:rPr>
          <w:rFonts w:ascii="Times New Roman" w:hAnsi="Times New Roman" w:cs="Times New Roman"/>
          <w:i/>
          <w:sz w:val="24"/>
          <w:szCs w:val="24"/>
        </w:rPr>
        <w:t xml:space="preserve">Webb, </w:t>
      </w:r>
      <w:r w:rsidRPr="00BA13EC">
        <w:rPr>
          <w:rFonts w:ascii="Times New Roman" w:hAnsi="Times New Roman" w:cs="Times New Roman"/>
          <w:i/>
          <w:sz w:val="24"/>
          <w:szCs w:val="24"/>
        </w:rPr>
        <w:t>Monash University</w:t>
      </w:r>
    </w:p>
    <w:p w:rsidR="000B2D7A" w:rsidRPr="00BA13EC" w:rsidRDefault="000B2D7A" w:rsidP="000B2D7A">
      <w:pPr>
        <w:jc w:val="center"/>
        <w:rPr>
          <w:rFonts w:ascii="Times New Roman" w:hAnsi="Times New Roman" w:cs="Times New Roman"/>
          <w:i/>
          <w:sz w:val="24"/>
          <w:szCs w:val="24"/>
        </w:rPr>
      </w:pPr>
      <w:r w:rsidRPr="00BA13EC">
        <w:rPr>
          <w:rFonts w:ascii="Times New Roman" w:hAnsi="Times New Roman" w:cs="Times New Roman"/>
          <w:i/>
          <w:sz w:val="24"/>
          <w:szCs w:val="24"/>
        </w:rPr>
        <w:t xml:space="preserve">Ann-Marie </w:t>
      </w:r>
      <w:r w:rsidR="00774059" w:rsidRPr="00BA13EC">
        <w:rPr>
          <w:rFonts w:ascii="Times New Roman" w:hAnsi="Times New Roman" w:cs="Times New Roman"/>
          <w:i/>
          <w:sz w:val="24"/>
          <w:szCs w:val="24"/>
        </w:rPr>
        <w:t>Bathmaker</w:t>
      </w:r>
      <w:r w:rsidRPr="00BA13EC">
        <w:rPr>
          <w:rFonts w:ascii="Times New Roman" w:hAnsi="Times New Roman" w:cs="Times New Roman"/>
          <w:i/>
          <w:sz w:val="24"/>
          <w:szCs w:val="24"/>
        </w:rPr>
        <w:t>, University of Birmingham</w:t>
      </w:r>
    </w:p>
    <w:p w:rsidR="00774059" w:rsidRPr="00BA13EC" w:rsidRDefault="000B2D7A" w:rsidP="000B2D7A">
      <w:pPr>
        <w:jc w:val="center"/>
        <w:rPr>
          <w:rFonts w:ascii="Times New Roman" w:hAnsi="Times New Roman" w:cs="Times New Roman"/>
          <w:i/>
          <w:sz w:val="24"/>
          <w:szCs w:val="24"/>
        </w:rPr>
      </w:pPr>
      <w:r w:rsidRPr="00BA13EC">
        <w:rPr>
          <w:rFonts w:ascii="Times New Roman" w:hAnsi="Times New Roman" w:cs="Times New Roman"/>
          <w:i/>
          <w:sz w:val="24"/>
          <w:szCs w:val="24"/>
        </w:rPr>
        <w:t>Trevor Gale, University of Glasgow</w:t>
      </w:r>
    </w:p>
    <w:p w:rsidR="009B7398" w:rsidRPr="00BA13EC" w:rsidRDefault="004645ED" w:rsidP="000B2D7A">
      <w:pPr>
        <w:jc w:val="both"/>
        <w:rPr>
          <w:rFonts w:ascii="Times New Roman" w:hAnsi="Times New Roman" w:cs="Times New Roman"/>
          <w:b/>
          <w:sz w:val="24"/>
          <w:szCs w:val="24"/>
        </w:rPr>
      </w:pPr>
      <w:r w:rsidRPr="00BA13EC">
        <w:rPr>
          <w:rFonts w:ascii="Times New Roman" w:hAnsi="Times New Roman" w:cs="Times New Roman"/>
          <w:b/>
          <w:sz w:val="24"/>
          <w:szCs w:val="24"/>
        </w:rPr>
        <w:t>Abstract</w:t>
      </w:r>
      <w:r w:rsidR="009B7398" w:rsidRPr="00BA13EC">
        <w:rPr>
          <w:rFonts w:ascii="Times New Roman" w:hAnsi="Times New Roman" w:cs="Times New Roman"/>
          <w:b/>
          <w:sz w:val="24"/>
          <w:szCs w:val="24"/>
        </w:rPr>
        <w:t>:</w:t>
      </w:r>
    </w:p>
    <w:p w:rsidR="00774059" w:rsidRPr="00BA13EC" w:rsidRDefault="00774059" w:rsidP="000B2D7A">
      <w:pPr>
        <w:jc w:val="both"/>
        <w:rPr>
          <w:rFonts w:ascii="Times New Roman" w:hAnsi="Times New Roman" w:cs="Times New Roman"/>
          <w:sz w:val="24"/>
          <w:szCs w:val="24"/>
        </w:rPr>
      </w:pPr>
      <w:r w:rsidRPr="00BA13EC">
        <w:rPr>
          <w:rFonts w:ascii="Times New Roman" w:hAnsi="Times New Roman" w:cs="Times New Roman"/>
          <w:sz w:val="24"/>
          <w:szCs w:val="24"/>
        </w:rPr>
        <w:t>Australian higher education</w:t>
      </w:r>
      <w:r w:rsidR="00C36CDC" w:rsidRPr="00BA13EC">
        <w:rPr>
          <w:rFonts w:ascii="Times New Roman" w:hAnsi="Times New Roman" w:cs="Times New Roman"/>
          <w:sz w:val="24"/>
          <w:szCs w:val="24"/>
        </w:rPr>
        <w:t xml:space="preserve"> </w:t>
      </w:r>
      <w:r w:rsidRPr="00BA13EC">
        <w:rPr>
          <w:rFonts w:ascii="Times New Roman" w:hAnsi="Times New Roman" w:cs="Times New Roman"/>
          <w:sz w:val="24"/>
          <w:szCs w:val="24"/>
        </w:rPr>
        <w:t>is in a state of flux. One sign of this flux is the entry of new providers,</w:t>
      </w:r>
      <w:r w:rsidR="00875FE1" w:rsidRPr="00BA13EC">
        <w:rPr>
          <w:rFonts w:ascii="Times New Roman" w:hAnsi="Times New Roman" w:cs="Times New Roman"/>
          <w:sz w:val="24"/>
          <w:szCs w:val="24"/>
        </w:rPr>
        <w:t xml:space="preserve"> including those</w:t>
      </w:r>
      <w:r w:rsidR="004552F6" w:rsidRPr="00BA13EC">
        <w:rPr>
          <w:rFonts w:ascii="Times New Roman" w:hAnsi="Times New Roman" w:cs="Times New Roman"/>
          <w:sz w:val="24"/>
          <w:szCs w:val="24"/>
        </w:rPr>
        <w:t xml:space="preserve"> with a track record</w:t>
      </w:r>
      <w:r w:rsidRPr="00BA13EC">
        <w:rPr>
          <w:rFonts w:ascii="Times New Roman" w:hAnsi="Times New Roman" w:cs="Times New Roman"/>
          <w:sz w:val="24"/>
          <w:szCs w:val="24"/>
        </w:rPr>
        <w:t xml:space="preserve"> in VET. Are these providers offering similar qualifications to universities or </w:t>
      </w:r>
      <w:r w:rsidR="00095A05" w:rsidRPr="00BA13EC">
        <w:rPr>
          <w:rFonts w:ascii="Times New Roman" w:hAnsi="Times New Roman" w:cs="Times New Roman"/>
          <w:sz w:val="24"/>
          <w:szCs w:val="24"/>
        </w:rPr>
        <w:t xml:space="preserve">do </w:t>
      </w:r>
      <w:r w:rsidRPr="00BA13EC">
        <w:rPr>
          <w:rFonts w:ascii="Times New Roman" w:hAnsi="Times New Roman" w:cs="Times New Roman"/>
          <w:sz w:val="24"/>
          <w:szCs w:val="24"/>
        </w:rPr>
        <w:t xml:space="preserve">they </w:t>
      </w:r>
      <w:r w:rsidR="00095A05" w:rsidRPr="00BA13EC">
        <w:rPr>
          <w:rFonts w:ascii="Times New Roman" w:hAnsi="Times New Roman" w:cs="Times New Roman"/>
          <w:sz w:val="24"/>
          <w:szCs w:val="24"/>
        </w:rPr>
        <w:t xml:space="preserve">bring </w:t>
      </w:r>
      <w:r w:rsidRPr="00BA13EC">
        <w:rPr>
          <w:rFonts w:ascii="Times New Roman" w:hAnsi="Times New Roman" w:cs="Times New Roman"/>
          <w:sz w:val="24"/>
          <w:szCs w:val="24"/>
        </w:rPr>
        <w:t xml:space="preserve">something new and distinctive? </w:t>
      </w:r>
      <w:r w:rsidR="00095A05" w:rsidRPr="00BA13EC">
        <w:rPr>
          <w:rFonts w:ascii="Times New Roman" w:hAnsi="Times New Roman" w:cs="Times New Roman"/>
          <w:sz w:val="24"/>
          <w:szCs w:val="24"/>
        </w:rPr>
        <w:t>T</w:t>
      </w:r>
      <w:r w:rsidRPr="00BA13EC">
        <w:rPr>
          <w:rFonts w:ascii="Times New Roman" w:hAnsi="Times New Roman" w:cs="Times New Roman"/>
          <w:sz w:val="24"/>
          <w:szCs w:val="24"/>
        </w:rPr>
        <w:t xml:space="preserve">his paper </w:t>
      </w:r>
      <w:r w:rsidR="00C04A25" w:rsidRPr="00BA13EC">
        <w:rPr>
          <w:rFonts w:ascii="Times New Roman" w:hAnsi="Times New Roman" w:cs="Times New Roman"/>
          <w:sz w:val="24"/>
          <w:szCs w:val="24"/>
        </w:rPr>
        <w:t xml:space="preserve">draws on </w:t>
      </w:r>
      <w:r w:rsidRPr="00BA13EC">
        <w:rPr>
          <w:rFonts w:ascii="Times New Roman" w:hAnsi="Times New Roman" w:cs="Times New Roman"/>
          <w:sz w:val="24"/>
          <w:szCs w:val="24"/>
        </w:rPr>
        <w:t xml:space="preserve">Pierre Bourdieu’s theory of distinction </w:t>
      </w:r>
      <w:r w:rsidR="00C04A25" w:rsidRPr="00BA13EC">
        <w:rPr>
          <w:rFonts w:ascii="Times New Roman" w:hAnsi="Times New Roman" w:cs="Times New Roman"/>
          <w:sz w:val="24"/>
          <w:szCs w:val="24"/>
        </w:rPr>
        <w:t xml:space="preserve">to argue that the entry of qualifications by new providers trouble some of the boundaries between </w:t>
      </w:r>
      <w:r w:rsidR="00B84CC8" w:rsidRPr="00BA13EC">
        <w:rPr>
          <w:rFonts w:ascii="Times New Roman" w:hAnsi="Times New Roman" w:cs="Times New Roman"/>
          <w:sz w:val="24"/>
          <w:szCs w:val="24"/>
        </w:rPr>
        <w:t xml:space="preserve">the </w:t>
      </w:r>
      <w:r w:rsidR="00875FE1" w:rsidRPr="00BA13EC">
        <w:rPr>
          <w:rFonts w:ascii="Times New Roman" w:hAnsi="Times New Roman" w:cs="Times New Roman"/>
          <w:sz w:val="24"/>
          <w:szCs w:val="24"/>
        </w:rPr>
        <w:t>VET and higher education fields</w:t>
      </w:r>
      <w:r w:rsidR="00B84CC8" w:rsidRPr="00BA13EC">
        <w:rPr>
          <w:rFonts w:ascii="Times New Roman" w:hAnsi="Times New Roman" w:cs="Times New Roman"/>
          <w:sz w:val="24"/>
          <w:szCs w:val="24"/>
        </w:rPr>
        <w:t>. VET provider degrees emerge as a new point of distinction in the higher education field, offering ben</w:t>
      </w:r>
      <w:r w:rsidR="00C36CDC" w:rsidRPr="00BA13EC">
        <w:rPr>
          <w:rFonts w:ascii="Times New Roman" w:hAnsi="Times New Roman" w:cs="Times New Roman"/>
          <w:sz w:val="24"/>
          <w:szCs w:val="24"/>
        </w:rPr>
        <w:t>efits that resonate with changes in the market</w:t>
      </w:r>
      <w:r w:rsidR="00B84CC8" w:rsidRPr="00BA13EC">
        <w:rPr>
          <w:rFonts w:ascii="Times New Roman" w:hAnsi="Times New Roman" w:cs="Times New Roman"/>
          <w:sz w:val="24"/>
          <w:szCs w:val="24"/>
        </w:rPr>
        <w:t xml:space="preserve"> for degrees. VET provider degrees </w:t>
      </w:r>
      <w:r w:rsidR="00ED01C5" w:rsidRPr="00BA13EC">
        <w:rPr>
          <w:rFonts w:ascii="Times New Roman" w:hAnsi="Times New Roman" w:cs="Times New Roman"/>
          <w:sz w:val="24"/>
          <w:szCs w:val="24"/>
        </w:rPr>
        <w:t xml:space="preserve">potentially </w:t>
      </w:r>
      <w:r w:rsidR="00B84CC8" w:rsidRPr="00BA13EC">
        <w:rPr>
          <w:rFonts w:ascii="Times New Roman" w:hAnsi="Times New Roman" w:cs="Times New Roman"/>
          <w:sz w:val="24"/>
          <w:szCs w:val="24"/>
        </w:rPr>
        <w:t xml:space="preserve">alter the </w:t>
      </w:r>
      <w:r w:rsidR="00ED01C5" w:rsidRPr="00BA13EC">
        <w:rPr>
          <w:rFonts w:ascii="Times New Roman" w:hAnsi="Times New Roman" w:cs="Times New Roman"/>
          <w:sz w:val="24"/>
          <w:szCs w:val="24"/>
        </w:rPr>
        <w:t>structure of the higher education field, disturbing the established order and changing the rules of the game. Basil Bernstein’s concept of ‘message systems’ is drawn on to nuance the theory of distinction in the context of the Australian tertiary landscape. Attention is thus drawn to messages associated with teaching, curriculum and assessment in VET providers that help us to examine the action of these providers in reconfiguring distinction.</w:t>
      </w:r>
      <w:r w:rsidR="00C36CDC" w:rsidRPr="00BA13EC">
        <w:rPr>
          <w:rFonts w:ascii="Times New Roman" w:hAnsi="Times New Roman" w:cs="Times New Roman"/>
          <w:sz w:val="24"/>
          <w:szCs w:val="24"/>
        </w:rPr>
        <w:t xml:space="preserve"> The analysis present</w:t>
      </w:r>
      <w:r w:rsidR="0043756D" w:rsidRPr="00BA13EC">
        <w:rPr>
          <w:rFonts w:ascii="Times New Roman" w:hAnsi="Times New Roman" w:cs="Times New Roman"/>
          <w:sz w:val="24"/>
          <w:szCs w:val="24"/>
        </w:rPr>
        <w:t>ed here hints at</w:t>
      </w:r>
      <w:r w:rsidR="00C36CDC" w:rsidRPr="00BA13EC">
        <w:rPr>
          <w:rFonts w:ascii="Times New Roman" w:hAnsi="Times New Roman" w:cs="Times New Roman"/>
          <w:sz w:val="24"/>
          <w:szCs w:val="24"/>
        </w:rPr>
        <w:t xml:space="preserve"> a </w:t>
      </w:r>
      <w:r w:rsidR="00F91E9D" w:rsidRPr="00BA13EC">
        <w:rPr>
          <w:rFonts w:ascii="Times New Roman" w:hAnsi="Times New Roman" w:cs="Times New Roman"/>
          <w:sz w:val="24"/>
          <w:szCs w:val="24"/>
        </w:rPr>
        <w:t>redefinition</w:t>
      </w:r>
      <w:r w:rsidR="00C36CDC" w:rsidRPr="00BA13EC">
        <w:rPr>
          <w:rFonts w:ascii="Times New Roman" w:hAnsi="Times New Roman" w:cs="Times New Roman"/>
          <w:sz w:val="24"/>
          <w:szCs w:val="24"/>
        </w:rPr>
        <w:t xml:space="preserve"> of what makes a degree distinctive.</w:t>
      </w:r>
    </w:p>
    <w:p w:rsidR="00D27AA2" w:rsidRPr="00BA13EC" w:rsidRDefault="00D27AA2" w:rsidP="000B2D7A">
      <w:pPr>
        <w:jc w:val="both"/>
        <w:rPr>
          <w:rFonts w:ascii="Times New Roman" w:hAnsi="Times New Roman" w:cs="Times New Roman"/>
          <w:b/>
          <w:sz w:val="24"/>
          <w:szCs w:val="24"/>
        </w:rPr>
      </w:pPr>
      <w:r w:rsidRPr="00BA13EC">
        <w:rPr>
          <w:rFonts w:ascii="Times New Roman" w:hAnsi="Times New Roman" w:cs="Times New Roman"/>
          <w:b/>
          <w:sz w:val="24"/>
          <w:szCs w:val="24"/>
        </w:rPr>
        <w:t xml:space="preserve">Key words: </w:t>
      </w:r>
    </w:p>
    <w:p w:rsidR="00D27AA2" w:rsidRPr="00BA13EC" w:rsidRDefault="0011343C" w:rsidP="000B2D7A">
      <w:pPr>
        <w:jc w:val="both"/>
        <w:rPr>
          <w:rFonts w:ascii="Times New Roman" w:hAnsi="Times New Roman" w:cs="Times New Roman"/>
          <w:sz w:val="24"/>
          <w:szCs w:val="24"/>
        </w:rPr>
      </w:pPr>
      <w:r w:rsidRPr="00BA13EC">
        <w:rPr>
          <w:rFonts w:ascii="Times New Roman" w:hAnsi="Times New Roman" w:cs="Times New Roman"/>
          <w:sz w:val="24"/>
          <w:szCs w:val="24"/>
        </w:rPr>
        <w:t>Vocational education and training, higher education, Bourdieu, Bernstein, distinction, taste, message systems, knowledge codes</w:t>
      </w:r>
    </w:p>
    <w:p w:rsidR="00DA6C64" w:rsidRPr="00BA13EC" w:rsidRDefault="00DA6C64" w:rsidP="000B2D7A">
      <w:pPr>
        <w:jc w:val="both"/>
        <w:rPr>
          <w:rFonts w:ascii="Times New Roman" w:hAnsi="Times New Roman" w:cs="Times New Roman"/>
          <w:sz w:val="24"/>
          <w:szCs w:val="24"/>
        </w:rPr>
      </w:pPr>
      <w:r w:rsidRPr="00BA13EC">
        <w:rPr>
          <w:rFonts w:ascii="Times New Roman" w:hAnsi="Times New Roman" w:cs="Times New Roman"/>
          <w:b/>
          <w:sz w:val="24"/>
          <w:szCs w:val="24"/>
        </w:rPr>
        <w:t>Introduction</w:t>
      </w:r>
    </w:p>
    <w:p w:rsidR="00F67DE0" w:rsidRPr="00BA13EC" w:rsidRDefault="006344A8" w:rsidP="000B2D7A">
      <w:pPr>
        <w:jc w:val="both"/>
        <w:rPr>
          <w:rFonts w:ascii="Times New Roman" w:hAnsi="Times New Roman" w:cs="Times New Roman"/>
          <w:sz w:val="24"/>
          <w:szCs w:val="24"/>
        </w:rPr>
      </w:pPr>
      <w:r w:rsidRPr="00BA13EC">
        <w:rPr>
          <w:rFonts w:ascii="Times New Roman" w:hAnsi="Times New Roman" w:cs="Times New Roman"/>
          <w:sz w:val="24"/>
          <w:szCs w:val="24"/>
        </w:rPr>
        <w:t>Australian higher education, like higher education</w:t>
      </w:r>
      <w:r w:rsidR="00F83A7F" w:rsidRPr="00BA13EC">
        <w:rPr>
          <w:rFonts w:ascii="Times New Roman" w:hAnsi="Times New Roman" w:cs="Times New Roman"/>
          <w:sz w:val="24"/>
          <w:szCs w:val="24"/>
        </w:rPr>
        <w:t xml:space="preserve"> sectors in many other countries, is subject to intense policy debate and continual transformation as a field. A prominent example of the latter is the influx of</w:t>
      </w:r>
      <w:r w:rsidR="00970A56" w:rsidRPr="00BA13EC">
        <w:rPr>
          <w:rFonts w:ascii="Times New Roman" w:hAnsi="Times New Roman" w:cs="Times New Roman"/>
          <w:sz w:val="24"/>
          <w:szCs w:val="24"/>
        </w:rPr>
        <w:t xml:space="preserve"> new providers</w:t>
      </w:r>
      <w:r w:rsidR="00F83A7F" w:rsidRPr="00BA13EC">
        <w:rPr>
          <w:rFonts w:ascii="Times New Roman" w:hAnsi="Times New Roman" w:cs="Times New Roman"/>
          <w:sz w:val="24"/>
          <w:szCs w:val="24"/>
        </w:rPr>
        <w:t>. For some time, universities were regarded as synonymous with higher education, and debate and reform con</w:t>
      </w:r>
      <w:r w:rsidR="00970A56" w:rsidRPr="00BA13EC">
        <w:rPr>
          <w:rFonts w:ascii="Times New Roman" w:hAnsi="Times New Roman" w:cs="Times New Roman"/>
          <w:sz w:val="24"/>
          <w:szCs w:val="24"/>
        </w:rPr>
        <w:t>cerned the relationships among</w:t>
      </w:r>
      <w:r w:rsidR="00F83A7F" w:rsidRPr="00BA13EC">
        <w:rPr>
          <w:rFonts w:ascii="Times New Roman" w:hAnsi="Times New Roman" w:cs="Times New Roman"/>
          <w:sz w:val="24"/>
          <w:szCs w:val="24"/>
        </w:rPr>
        <w:t xml:space="preserve"> universities, the way they operated and what they offered</w:t>
      </w:r>
      <w:r w:rsidR="005A4B91" w:rsidRPr="00BA13EC">
        <w:rPr>
          <w:rFonts w:ascii="Times New Roman" w:hAnsi="Times New Roman" w:cs="Times New Roman"/>
          <w:sz w:val="24"/>
          <w:szCs w:val="24"/>
        </w:rPr>
        <w:t xml:space="preserve"> </w:t>
      </w:r>
      <w:r w:rsidR="00D0186C" w:rsidRPr="00BA13EC">
        <w:rPr>
          <w:rFonts w:ascii="Times New Roman" w:hAnsi="Times New Roman" w:cs="Times New Roman"/>
          <w:sz w:val="24"/>
          <w:szCs w:val="24"/>
        </w:rPr>
        <w:t>(Trow, 2005)</w:t>
      </w:r>
      <w:r w:rsidR="00F83A7F" w:rsidRPr="00BA13EC">
        <w:rPr>
          <w:rFonts w:ascii="Times New Roman" w:hAnsi="Times New Roman" w:cs="Times New Roman"/>
          <w:sz w:val="24"/>
          <w:szCs w:val="24"/>
        </w:rPr>
        <w:t xml:space="preserve">. </w:t>
      </w:r>
      <w:r w:rsidR="00970A56" w:rsidRPr="00BA13EC">
        <w:rPr>
          <w:rFonts w:ascii="Times New Roman" w:hAnsi="Times New Roman" w:cs="Times New Roman"/>
          <w:sz w:val="24"/>
          <w:szCs w:val="24"/>
        </w:rPr>
        <w:t>In conte</w:t>
      </w:r>
      <w:r w:rsidR="00230AC2" w:rsidRPr="00BA13EC">
        <w:rPr>
          <w:rFonts w:ascii="Times New Roman" w:hAnsi="Times New Roman" w:cs="Times New Roman"/>
          <w:sz w:val="24"/>
          <w:szCs w:val="24"/>
        </w:rPr>
        <w:t>m</w:t>
      </w:r>
      <w:r w:rsidR="001E425C" w:rsidRPr="00BA13EC">
        <w:rPr>
          <w:rFonts w:ascii="Times New Roman" w:hAnsi="Times New Roman" w:cs="Times New Roman"/>
          <w:sz w:val="24"/>
          <w:szCs w:val="24"/>
        </w:rPr>
        <w:t>porary higher education</w:t>
      </w:r>
      <w:r w:rsidR="00970A56" w:rsidRPr="00BA13EC">
        <w:rPr>
          <w:rFonts w:ascii="Times New Roman" w:hAnsi="Times New Roman" w:cs="Times New Roman"/>
          <w:sz w:val="24"/>
          <w:szCs w:val="24"/>
        </w:rPr>
        <w:t xml:space="preserve"> – in Australia and in other countries – the traditional order has given way to a more diverse landscape in which non-university </w:t>
      </w:r>
      <w:r w:rsidR="001E425C" w:rsidRPr="00BA13EC">
        <w:rPr>
          <w:rFonts w:ascii="Times New Roman" w:hAnsi="Times New Roman" w:cs="Times New Roman"/>
          <w:sz w:val="24"/>
          <w:szCs w:val="24"/>
        </w:rPr>
        <w:t xml:space="preserve">higher education </w:t>
      </w:r>
      <w:r w:rsidR="00970A56" w:rsidRPr="00BA13EC">
        <w:rPr>
          <w:rFonts w:ascii="Times New Roman" w:hAnsi="Times New Roman" w:cs="Times New Roman"/>
          <w:sz w:val="24"/>
          <w:szCs w:val="24"/>
        </w:rPr>
        <w:t>providers vie with established in</w:t>
      </w:r>
      <w:r w:rsidR="0011343C" w:rsidRPr="00BA13EC">
        <w:rPr>
          <w:rFonts w:ascii="Times New Roman" w:hAnsi="Times New Roman" w:cs="Times New Roman"/>
          <w:sz w:val="24"/>
          <w:szCs w:val="24"/>
        </w:rPr>
        <w:t>stitutions to stake their claims and attract market share</w:t>
      </w:r>
      <w:r w:rsidR="00970A56" w:rsidRPr="00BA13EC">
        <w:rPr>
          <w:rFonts w:ascii="Times New Roman" w:hAnsi="Times New Roman" w:cs="Times New Roman"/>
          <w:sz w:val="24"/>
          <w:szCs w:val="24"/>
        </w:rPr>
        <w:t xml:space="preserve">. Converted progressively into a market through waves of neoliberal reform, the </w:t>
      </w:r>
      <w:r w:rsidR="001E425C" w:rsidRPr="00BA13EC">
        <w:rPr>
          <w:rFonts w:ascii="Times New Roman" w:hAnsi="Times New Roman" w:cs="Times New Roman"/>
          <w:sz w:val="24"/>
          <w:szCs w:val="24"/>
        </w:rPr>
        <w:t xml:space="preserve">higher education </w:t>
      </w:r>
      <w:r w:rsidR="00970A56" w:rsidRPr="00BA13EC">
        <w:rPr>
          <w:rFonts w:ascii="Times New Roman" w:hAnsi="Times New Roman" w:cs="Times New Roman"/>
          <w:sz w:val="24"/>
          <w:szCs w:val="24"/>
        </w:rPr>
        <w:t>sector in Australia has become porous and structured according to d</w:t>
      </w:r>
      <w:r w:rsidR="008228A3" w:rsidRPr="00BA13EC">
        <w:rPr>
          <w:rFonts w:ascii="Times New Roman" w:hAnsi="Times New Roman" w:cs="Times New Roman"/>
          <w:sz w:val="24"/>
          <w:szCs w:val="24"/>
        </w:rPr>
        <w:t>ynamics of supply and dem</w:t>
      </w:r>
      <w:r w:rsidR="00D27AA2" w:rsidRPr="00BA13EC">
        <w:rPr>
          <w:rFonts w:ascii="Times New Roman" w:hAnsi="Times New Roman" w:cs="Times New Roman"/>
          <w:sz w:val="24"/>
          <w:szCs w:val="24"/>
        </w:rPr>
        <w:t>and</w:t>
      </w:r>
      <w:r w:rsidR="008228A3" w:rsidRPr="00BA13EC">
        <w:rPr>
          <w:rFonts w:ascii="Times New Roman" w:hAnsi="Times New Roman" w:cs="Times New Roman"/>
          <w:sz w:val="24"/>
          <w:szCs w:val="24"/>
        </w:rPr>
        <w:t xml:space="preserve">. Accompanying this fundamental transformation of the </w:t>
      </w:r>
      <w:r w:rsidR="001E425C" w:rsidRPr="00BA13EC">
        <w:rPr>
          <w:rFonts w:ascii="Times New Roman" w:hAnsi="Times New Roman" w:cs="Times New Roman"/>
          <w:sz w:val="24"/>
          <w:szCs w:val="24"/>
        </w:rPr>
        <w:t xml:space="preserve">higher education </w:t>
      </w:r>
      <w:r w:rsidR="008228A3" w:rsidRPr="00BA13EC">
        <w:rPr>
          <w:rFonts w:ascii="Times New Roman" w:hAnsi="Times New Roman" w:cs="Times New Roman"/>
          <w:sz w:val="24"/>
          <w:szCs w:val="24"/>
        </w:rPr>
        <w:t xml:space="preserve">field is policy debate that </w:t>
      </w:r>
      <w:r w:rsidR="00206D41" w:rsidRPr="00BA13EC">
        <w:rPr>
          <w:rFonts w:ascii="Times New Roman" w:hAnsi="Times New Roman" w:cs="Times New Roman"/>
          <w:sz w:val="24"/>
          <w:szCs w:val="24"/>
        </w:rPr>
        <w:t xml:space="preserve">increasingly views knowledge in economic terms. It is accepted </w:t>
      </w:r>
      <w:r w:rsidR="00206D41" w:rsidRPr="00BA13EC">
        <w:rPr>
          <w:rFonts w:ascii="Times New Roman" w:hAnsi="Times New Roman" w:cs="Times New Roman"/>
          <w:sz w:val="24"/>
          <w:szCs w:val="24"/>
        </w:rPr>
        <w:lastRenderedPageBreak/>
        <w:t xml:space="preserve">that we live in a global knowledge economy </w:t>
      </w:r>
      <w:r w:rsidR="0011343C" w:rsidRPr="00BA13EC">
        <w:rPr>
          <w:rFonts w:ascii="Times New Roman" w:hAnsi="Times New Roman" w:cs="Times New Roman"/>
          <w:sz w:val="24"/>
          <w:szCs w:val="24"/>
        </w:rPr>
        <w:t>and that a competitive nation</w:t>
      </w:r>
      <w:r w:rsidR="00206D41" w:rsidRPr="00BA13EC">
        <w:rPr>
          <w:rFonts w:ascii="Times New Roman" w:hAnsi="Times New Roman" w:cs="Times New Roman"/>
          <w:sz w:val="24"/>
          <w:szCs w:val="24"/>
        </w:rPr>
        <w:t xml:space="preserve"> is one that must leverage knowledge production and innovation to succeed</w:t>
      </w:r>
      <w:r w:rsidR="005A4B91" w:rsidRPr="00BA13EC">
        <w:rPr>
          <w:rFonts w:ascii="Times New Roman" w:hAnsi="Times New Roman" w:cs="Times New Roman"/>
          <w:sz w:val="24"/>
          <w:szCs w:val="24"/>
        </w:rPr>
        <w:t xml:space="preserve"> </w:t>
      </w:r>
      <w:r w:rsidR="00D0186C" w:rsidRPr="00BA13EC">
        <w:rPr>
          <w:rFonts w:ascii="Times New Roman" w:hAnsi="Times New Roman" w:cs="Times New Roman"/>
          <w:sz w:val="24"/>
          <w:szCs w:val="24"/>
        </w:rPr>
        <w:t>(Marginson, 2010)</w:t>
      </w:r>
      <w:r w:rsidR="00206D41" w:rsidRPr="00BA13EC">
        <w:rPr>
          <w:rFonts w:ascii="Times New Roman" w:hAnsi="Times New Roman" w:cs="Times New Roman"/>
          <w:sz w:val="24"/>
          <w:szCs w:val="24"/>
        </w:rPr>
        <w:t>. In such an environment, creating knowledge and knowledge workers becomes imperati</w:t>
      </w:r>
      <w:r w:rsidR="00230AC2" w:rsidRPr="00BA13EC">
        <w:rPr>
          <w:rFonts w:ascii="Times New Roman" w:hAnsi="Times New Roman" w:cs="Times New Roman"/>
          <w:sz w:val="24"/>
          <w:szCs w:val="24"/>
        </w:rPr>
        <w:t>ve and education systems are an</w:t>
      </w:r>
      <w:r w:rsidR="00206D41" w:rsidRPr="00BA13EC">
        <w:rPr>
          <w:rFonts w:ascii="Times New Roman" w:hAnsi="Times New Roman" w:cs="Times New Roman"/>
          <w:sz w:val="24"/>
          <w:szCs w:val="24"/>
        </w:rPr>
        <w:t xml:space="preserve"> obvious site for such activity. Australian </w:t>
      </w:r>
      <w:r w:rsidR="001E425C" w:rsidRPr="00BA13EC">
        <w:rPr>
          <w:rFonts w:ascii="Times New Roman" w:hAnsi="Times New Roman" w:cs="Times New Roman"/>
          <w:sz w:val="24"/>
          <w:szCs w:val="24"/>
        </w:rPr>
        <w:t xml:space="preserve">higher education </w:t>
      </w:r>
      <w:r w:rsidR="00206D41" w:rsidRPr="00BA13EC">
        <w:rPr>
          <w:rFonts w:ascii="Times New Roman" w:hAnsi="Times New Roman" w:cs="Times New Roman"/>
          <w:sz w:val="24"/>
          <w:szCs w:val="24"/>
        </w:rPr>
        <w:t xml:space="preserve">policy is therefore oriented to the economic value of the </w:t>
      </w:r>
      <w:r w:rsidR="001E425C" w:rsidRPr="00BA13EC">
        <w:rPr>
          <w:rFonts w:ascii="Times New Roman" w:hAnsi="Times New Roman" w:cs="Times New Roman"/>
          <w:sz w:val="24"/>
          <w:szCs w:val="24"/>
        </w:rPr>
        <w:t xml:space="preserve">higher education </w:t>
      </w:r>
      <w:r w:rsidR="00206D41" w:rsidRPr="00BA13EC">
        <w:rPr>
          <w:rFonts w:ascii="Times New Roman" w:hAnsi="Times New Roman" w:cs="Times New Roman"/>
          <w:sz w:val="24"/>
          <w:szCs w:val="24"/>
        </w:rPr>
        <w:t>sector. A corollary of this policy focus is that at the individual student level, vocational outcomes are beco</w:t>
      </w:r>
      <w:r w:rsidR="0011343C" w:rsidRPr="00BA13EC">
        <w:rPr>
          <w:rFonts w:ascii="Times New Roman" w:hAnsi="Times New Roman" w:cs="Times New Roman"/>
          <w:sz w:val="24"/>
          <w:szCs w:val="24"/>
        </w:rPr>
        <w:t>ming a more explicit concern</w:t>
      </w:r>
      <w:r w:rsidR="00230AC2" w:rsidRPr="00BA13EC">
        <w:rPr>
          <w:rFonts w:ascii="Times New Roman" w:hAnsi="Times New Roman" w:cs="Times New Roman"/>
          <w:sz w:val="24"/>
          <w:szCs w:val="24"/>
        </w:rPr>
        <w:t>. In consequence</w:t>
      </w:r>
      <w:r w:rsidR="00206D41" w:rsidRPr="00BA13EC">
        <w:rPr>
          <w:rFonts w:ascii="Times New Roman" w:hAnsi="Times New Roman" w:cs="Times New Roman"/>
          <w:sz w:val="24"/>
          <w:szCs w:val="24"/>
        </w:rPr>
        <w:t xml:space="preserve">, the effectiveness of the system and its policies can be measured </w:t>
      </w:r>
      <w:r w:rsidR="00230AC2" w:rsidRPr="00BA13EC">
        <w:rPr>
          <w:rFonts w:ascii="Times New Roman" w:hAnsi="Times New Roman" w:cs="Times New Roman"/>
          <w:sz w:val="24"/>
          <w:szCs w:val="24"/>
        </w:rPr>
        <w:t xml:space="preserve">in part </w:t>
      </w:r>
      <w:r w:rsidR="00206D41" w:rsidRPr="00BA13EC">
        <w:rPr>
          <w:rFonts w:ascii="Times New Roman" w:hAnsi="Times New Roman" w:cs="Times New Roman"/>
          <w:sz w:val="24"/>
          <w:szCs w:val="24"/>
        </w:rPr>
        <w:t xml:space="preserve">by the extent to which highly skilled workers are produced and employed. </w:t>
      </w:r>
    </w:p>
    <w:p w:rsidR="00F83A7F" w:rsidRPr="00BA13EC" w:rsidRDefault="00206D41"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It is into this milieu that </w:t>
      </w:r>
      <w:r w:rsidR="00F67DE0" w:rsidRPr="00BA13EC">
        <w:rPr>
          <w:rFonts w:ascii="Times New Roman" w:hAnsi="Times New Roman" w:cs="Times New Roman"/>
          <w:sz w:val="24"/>
          <w:szCs w:val="24"/>
        </w:rPr>
        <w:t xml:space="preserve">education providers with a track record in the Vocational Education and Training (VET) sector are </w:t>
      </w:r>
      <w:r w:rsidR="00D27AA2" w:rsidRPr="00BA13EC">
        <w:rPr>
          <w:rFonts w:ascii="Times New Roman" w:hAnsi="Times New Roman" w:cs="Times New Roman"/>
          <w:sz w:val="24"/>
          <w:szCs w:val="24"/>
        </w:rPr>
        <w:t>entering in what may be a</w:t>
      </w:r>
      <w:r w:rsidR="00F67DE0" w:rsidRPr="00BA13EC">
        <w:rPr>
          <w:rFonts w:ascii="Times New Roman" w:hAnsi="Times New Roman" w:cs="Times New Roman"/>
          <w:sz w:val="24"/>
          <w:szCs w:val="24"/>
        </w:rPr>
        <w:t xml:space="preserve"> significant transformation of </w:t>
      </w:r>
      <w:r w:rsidR="001E425C" w:rsidRPr="00BA13EC">
        <w:rPr>
          <w:rFonts w:ascii="Times New Roman" w:hAnsi="Times New Roman" w:cs="Times New Roman"/>
          <w:sz w:val="24"/>
          <w:szCs w:val="24"/>
        </w:rPr>
        <w:t xml:space="preserve">higher education </w:t>
      </w:r>
      <w:r w:rsidR="00F67DE0" w:rsidRPr="00BA13EC">
        <w:rPr>
          <w:rFonts w:ascii="Times New Roman" w:hAnsi="Times New Roman" w:cs="Times New Roman"/>
          <w:sz w:val="24"/>
          <w:szCs w:val="24"/>
        </w:rPr>
        <w:t xml:space="preserve">in Australia. </w:t>
      </w:r>
      <w:r w:rsidR="003E11D2" w:rsidRPr="00BA13EC">
        <w:rPr>
          <w:rFonts w:ascii="Times New Roman" w:hAnsi="Times New Roman" w:cs="Times New Roman"/>
          <w:sz w:val="24"/>
          <w:szCs w:val="24"/>
        </w:rPr>
        <w:t>In this paper this transformation is a</w:t>
      </w:r>
      <w:r w:rsidR="0011343C" w:rsidRPr="00BA13EC">
        <w:rPr>
          <w:rFonts w:ascii="Times New Roman" w:hAnsi="Times New Roman" w:cs="Times New Roman"/>
          <w:sz w:val="24"/>
          <w:szCs w:val="24"/>
        </w:rPr>
        <w:t>nalysed using Bourdieu’s theory</w:t>
      </w:r>
      <w:r w:rsidR="003E11D2" w:rsidRPr="00BA13EC">
        <w:rPr>
          <w:rFonts w:ascii="Times New Roman" w:hAnsi="Times New Roman" w:cs="Times New Roman"/>
          <w:sz w:val="24"/>
          <w:szCs w:val="24"/>
        </w:rPr>
        <w:t xml:space="preserve"> of ‘distinction’ and Bernstein’s notion of ‘message systems’. The argument is advanced that a new form of distinction is taking shape in </w:t>
      </w:r>
      <w:r w:rsidR="001E425C" w:rsidRPr="00BA13EC">
        <w:rPr>
          <w:rFonts w:ascii="Times New Roman" w:hAnsi="Times New Roman" w:cs="Times New Roman"/>
          <w:sz w:val="24"/>
          <w:szCs w:val="24"/>
        </w:rPr>
        <w:t xml:space="preserve">higher education </w:t>
      </w:r>
      <w:r w:rsidR="003E11D2" w:rsidRPr="00BA13EC">
        <w:rPr>
          <w:rFonts w:ascii="Times New Roman" w:hAnsi="Times New Roman" w:cs="Times New Roman"/>
          <w:sz w:val="24"/>
          <w:szCs w:val="24"/>
        </w:rPr>
        <w:t>that challenges the traditional university-dominated structure of the field. Messages about curriculum, pedagogy and assessment associated with the new entrants serves as ingredients for a new taste in degrees</w:t>
      </w:r>
      <w:r w:rsidR="0011343C" w:rsidRPr="00BA13EC">
        <w:rPr>
          <w:rFonts w:ascii="Times New Roman" w:hAnsi="Times New Roman" w:cs="Times New Roman"/>
          <w:sz w:val="24"/>
          <w:szCs w:val="24"/>
        </w:rPr>
        <w:t>, oriented to a non-traditional representation of higher knowledge</w:t>
      </w:r>
      <w:r w:rsidR="003E11D2" w:rsidRPr="00BA13EC">
        <w:rPr>
          <w:rFonts w:ascii="Times New Roman" w:hAnsi="Times New Roman" w:cs="Times New Roman"/>
          <w:sz w:val="24"/>
          <w:szCs w:val="24"/>
        </w:rPr>
        <w:t xml:space="preserve">. </w:t>
      </w:r>
      <w:r w:rsidR="0011343C" w:rsidRPr="00BA13EC">
        <w:rPr>
          <w:rFonts w:ascii="Times New Roman" w:hAnsi="Times New Roman" w:cs="Times New Roman"/>
          <w:sz w:val="24"/>
          <w:szCs w:val="24"/>
        </w:rPr>
        <w:t>If this analysis is coherent</w:t>
      </w:r>
      <w:r w:rsidR="003E11D2" w:rsidRPr="00BA13EC">
        <w:rPr>
          <w:rFonts w:ascii="Times New Roman" w:hAnsi="Times New Roman" w:cs="Times New Roman"/>
          <w:sz w:val="24"/>
          <w:szCs w:val="24"/>
        </w:rPr>
        <w:t>, it may be that a</w:t>
      </w:r>
      <w:r w:rsidR="00DA6C64" w:rsidRPr="00BA13EC">
        <w:rPr>
          <w:rFonts w:ascii="Times New Roman" w:hAnsi="Times New Roman" w:cs="Times New Roman"/>
          <w:sz w:val="24"/>
          <w:szCs w:val="24"/>
        </w:rPr>
        <w:t xml:space="preserve"> redefin</w:t>
      </w:r>
      <w:r w:rsidR="009B2720" w:rsidRPr="00BA13EC">
        <w:rPr>
          <w:rFonts w:ascii="Times New Roman" w:hAnsi="Times New Roman" w:cs="Times New Roman"/>
          <w:sz w:val="24"/>
          <w:szCs w:val="24"/>
        </w:rPr>
        <w:t>i</w:t>
      </w:r>
      <w:r w:rsidR="00DA6C64" w:rsidRPr="00BA13EC">
        <w:rPr>
          <w:rFonts w:ascii="Times New Roman" w:hAnsi="Times New Roman" w:cs="Times New Roman"/>
          <w:sz w:val="24"/>
          <w:szCs w:val="24"/>
        </w:rPr>
        <w:t xml:space="preserve">tion of what makes a degree distinctive is at hand. In the following discussion, the entrance of new providers into </w:t>
      </w:r>
      <w:r w:rsidR="001E425C" w:rsidRPr="00BA13EC">
        <w:rPr>
          <w:rFonts w:ascii="Times New Roman" w:hAnsi="Times New Roman" w:cs="Times New Roman"/>
          <w:sz w:val="24"/>
          <w:szCs w:val="24"/>
        </w:rPr>
        <w:t xml:space="preserve">higher education </w:t>
      </w:r>
      <w:r w:rsidR="0011343C" w:rsidRPr="00BA13EC">
        <w:rPr>
          <w:rFonts w:ascii="Times New Roman" w:hAnsi="Times New Roman" w:cs="Times New Roman"/>
          <w:sz w:val="24"/>
          <w:szCs w:val="24"/>
        </w:rPr>
        <w:t>is described</w:t>
      </w:r>
      <w:r w:rsidR="00DA6C64" w:rsidRPr="00BA13EC">
        <w:rPr>
          <w:rFonts w:ascii="Times New Roman" w:hAnsi="Times New Roman" w:cs="Times New Roman"/>
          <w:sz w:val="24"/>
          <w:szCs w:val="24"/>
        </w:rPr>
        <w:t xml:space="preserve">. </w:t>
      </w:r>
      <w:r w:rsidR="00D27AA2" w:rsidRPr="00BA13EC">
        <w:rPr>
          <w:rFonts w:ascii="Times New Roman" w:hAnsi="Times New Roman" w:cs="Times New Roman"/>
          <w:sz w:val="24"/>
          <w:szCs w:val="24"/>
        </w:rPr>
        <w:t xml:space="preserve">Bourdieu’s </w:t>
      </w:r>
      <w:r w:rsidR="005A4B91" w:rsidRPr="00BA13EC">
        <w:rPr>
          <w:rFonts w:ascii="Times New Roman" w:hAnsi="Times New Roman" w:cs="Times New Roman"/>
          <w:sz w:val="24"/>
          <w:szCs w:val="24"/>
        </w:rPr>
        <w:t xml:space="preserve">(1979/1984) </w:t>
      </w:r>
      <w:r w:rsidR="00D27AA2" w:rsidRPr="00BA13EC">
        <w:rPr>
          <w:rFonts w:ascii="Times New Roman" w:hAnsi="Times New Roman" w:cs="Times New Roman"/>
          <w:sz w:val="24"/>
          <w:szCs w:val="24"/>
        </w:rPr>
        <w:t xml:space="preserve">theory of distinction is </w:t>
      </w:r>
      <w:r w:rsidR="0011343C" w:rsidRPr="00BA13EC">
        <w:rPr>
          <w:rFonts w:ascii="Times New Roman" w:hAnsi="Times New Roman" w:cs="Times New Roman"/>
          <w:sz w:val="24"/>
          <w:szCs w:val="24"/>
        </w:rPr>
        <w:t xml:space="preserve">then </w:t>
      </w:r>
      <w:r w:rsidR="00D27AA2" w:rsidRPr="00BA13EC">
        <w:rPr>
          <w:rFonts w:ascii="Times New Roman" w:hAnsi="Times New Roman" w:cs="Times New Roman"/>
          <w:sz w:val="24"/>
          <w:szCs w:val="24"/>
        </w:rPr>
        <w:t>briefly introduced and the special way we use it explained</w:t>
      </w:r>
      <w:r w:rsidR="00DA6C64" w:rsidRPr="00BA13EC">
        <w:rPr>
          <w:rFonts w:ascii="Times New Roman" w:hAnsi="Times New Roman" w:cs="Times New Roman"/>
          <w:sz w:val="24"/>
          <w:szCs w:val="24"/>
        </w:rPr>
        <w:t>.</w:t>
      </w:r>
      <w:r w:rsidR="00D27AA2" w:rsidRPr="00BA13EC">
        <w:rPr>
          <w:rFonts w:ascii="Times New Roman" w:hAnsi="Times New Roman" w:cs="Times New Roman"/>
          <w:sz w:val="24"/>
          <w:szCs w:val="24"/>
        </w:rPr>
        <w:t xml:space="preserve"> The empirical challenge of researching the dual modes of distinction that are highlighted by this analysis is then considered and Bernstein’s </w:t>
      </w:r>
      <w:r w:rsidR="005A4B91" w:rsidRPr="00BA13EC">
        <w:rPr>
          <w:rFonts w:ascii="Times New Roman" w:hAnsi="Times New Roman" w:cs="Times New Roman"/>
          <w:sz w:val="24"/>
          <w:szCs w:val="24"/>
        </w:rPr>
        <w:t xml:space="preserve">(1975) </w:t>
      </w:r>
      <w:r w:rsidR="00D27AA2" w:rsidRPr="00BA13EC">
        <w:rPr>
          <w:rFonts w:ascii="Times New Roman" w:hAnsi="Times New Roman" w:cs="Times New Roman"/>
          <w:sz w:val="24"/>
          <w:szCs w:val="24"/>
        </w:rPr>
        <w:t xml:space="preserve">concept of ‘message systems’ is presented as a research framework. </w:t>
      </w:r>
      <w:r w:rsidR="0011343C" w:rsidRPr="00BA13EC">
        <w:rPr>
          <w:rFonts w:ascii="Times New Roman" w:hAnsi="Times New Roman" w:cs="Times New Roman"/>
          <w:sz w:val="24"/>
          <w:szCs w:val="24"/>
        </w:rPr>
        <w:t>Bernstein’s own suggestions about a new educational knowledge code are elaborated as a possible object in a new taste for degrees.</w:t>
      </w:r>
    </w:p>
    <w:p w:rsidR="00DA6C64" w:rsidRPr="00BA13EC" w:rsidRDefault="00100E75" w:rsidP="000B2D7A">
      <w:pPr>
        <w:jc w:val="both"/>
        <w:rPr>
          <w:rFonts w:ascii="Times New Roman" w:hAnsi="Times New Roman" w:cs="Times New Roman"/>
          <w:b/>
          <w:sz w:val="24"/>
          <w:szCs w:val="24"/>
        </w:rPr>
      </w:pPr>
      <w:r w:rsidRPr="00BA13EC">
        <w:rPr>
          <w:rFonts w:ascii="Times New Roman" w:hAnsi="Times New Roman" w:cs="Times New Roman"/>
          <w:b/>
          <w:sz w:val="24"/>
          <w:szCs w:val="24"/>
        </w:rPr>
        <w:t>VET providers in higher education</w:t>
      </w:r>
    </w:p>
    <w:p w:rsidR="00D90E26" w:rsidRPr="00BA13EC" w:rsidRDefault="001E425C"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Education providers operating in higher education with a track record in VET include both public and private organisations. In 2013, there were 10 </w:t>
      </w:r>
      <w:r w:rsidR="00A97EB3" w:rsidRPr="00BA13EC">
        <w:rPr>
          <w:rFonts w:ascii="Times New Roman" w:hAnsi="Times New Roman" w:cs="Times New Roman"/>
          <w:sz w:val="24"/>
          <w:szCs w:val="24"/>
        </w:rPr>
        <w:t xml:space="preserve">large </w:t>
      </w:r>
      <w:r w:rsidRPr="00BA13EC">
        <w:rPr>
          <w:rFonts w:ascii="Times New Roman" w:hAnsi="Times New Roman" w:cs="Times New Roman"/>
          <w:sz w:val="24"/>
          <w:szCs w:val="24"/>
        </w:rPr>
        <w:t>public providers accredited to offer bachelor degrees</w:t>
      </w:r>
      <w:r w:rsidR="00F039B8" w:rsidRPr="00BA13EC">
        <w:rPr>
          <w:rFonts w:ascii="Times New Roman" w:hAnsi="Times New Roman" w:cs="Times New Roman"/>
          <w:sz w:val="24"/>
          <w:szCs w:val="24"/>
        </w:rPr>
        <w:t xml:space="preserve"> and 32 private</w:t>
      </w:r>
      <w:r w:rsidR="00A97EB3" w:rsidRPr="00BA13EC">
        <w:rPr>
          <w:rFonts w:ascii="Times New Roman" w:hAnsi="Times New Roman" w:cs="Times New Roman"/>
          <w:sz w:val="24"/>
          <w:szCs w:val="24"/>
        </w:rPr>
        <w:t>, smaller</w:t>
      </w:r>
      <w:r w:rsidR="00F039B8" w:rsidRPr="00BA13EC">
        <w:rPr>
          <w:rFonts w:ascii="Times New Roman" w:hAnsi="Times New Roman" w:cs="Times New Roman"/>
          <w:sz w:val="24"/>
          <w:szCs w:val="24"/>
        </w:rPr>
        <w:t xml:space="preserve"> providers </w:t>
      </w:r>
      <w:r w:rsidR="00B16505" w:rsidRPr="00BA13EC">
        <w:rPr>
          <w:rFonts w:ascii="Times New Roman" w:hAnsi="Times New Roman" w:cs="Times New Roman"/>
          <w:sz w:val="24"/>
          <w:szCs w:val="24"/>
        </w:rPr>
        <w:t xml:space="preserve">that fit into this category </w:t>
      </w:r>
      <w:r w:rsidR="00F039B8" w:rsidRPr="00BA13EC">
        <w:rPr>
          <w:rFonts w:ascii="Times New Roman" w:hAnsi="Times New Roman" w:cs="Times New Roman"/>
          <w:sz w:val="24"/>
          <w:szCs w:val="24"/>
        </w:rPr>
        <w:t>(</w:t>
      </w:r>
      <w:r w:rsidR="005A4B91" w:rsidRPr="00BA13EC">
        <w:rPr>
          <w:rFonts w:ascii="Times New Roman" w:hAnsi="Times New Roman" w:cs="Times New Roman"/>
          <w:sz w:val="24"/>
          <w:szCs w:val="24"/>
        </w:rPr>
        <w:t xml:space="preserve">Gale, Hodge, Parker, Rawolle, Charlton, Rodd, Skourdoumbis &amp; Molla, </w:t>
      </w:r>
      <w:r w:rsidR="00F039B8" w:rsidRPr="00BA13EC">
        <w:rPr>
          <w:rFonts w:ascii="Times New Roman" w:hAnsi="Times New Roman" w:cs="Times New Roman"/>
          <w:sz w:val="24"/>
          <w:szCs w:val="24"/>
        </w:rPr>
        <w:t>2013). The number of non-university providers of higher education is much higher than these figures indicate</w:t>
      </w:r>
      <w:r w:rsidR="001937A0" w:rsidRPr="00BA13EC">
        <w:rPr>
          <w:rFonts w:ascii="Times New Roman" w:hAnsi="Times New Roman" w:cs="Times New Roman"/>
          <w:sz w:val="24"/>
          <w:szCs w:val="24"/>
        </w:rPr>
        <w:t xml:space="preserve"> (Department of Education and Training, 2015)</w:t>
      </w:r>
      <w:r w:rsidR="00F039B8" w:rsidRPr="00BA13EC">
        <w:rPr>
          <w:rFonts w:ascii="Times New Roman" w:hAnsi="Times New Roman" w:cs="Times New Roman"/>
          <w:sz w:val="24"/>
          <w:szCs w:val="24"/>
        </w:rPr>
        <w:t>, but m</w:t>
      </w:r>
      <w:r w:rsidR="001937A0" w:rsidRPr="00BA13EC">
        <w:rPr>
          <w:rFonts w:ascii="Times New Roman" w:hAnsi="Times New Roman" w:cs="Times New Roman"/>
          <w:sz w:val="24"/>
          <w:szCs w:val="24"/>
        </w:rPr>
        <w:t xml:space="preserve">any of these have had </w:t>
      </w:r>
      <w:r w:rsidR="00F039B8" w:rsidRPr="00BA13EC">
        <w:rPr>
          <w:rFonts w:ascii="Times New Roman" w:hAnsi="Times New Roman" w:cs="Times New Roman"/>
          <w:sz w:val="24"/>
          <w:szCs w:val="24"/>
        </w:rPr>
        <w:t>no presence in the VET field. In this paper the focus is on the public providers, or institutes of ‘Technical and Further Education’ (TAFEs)</w:t>
      </w:r>
      <w:r w:rsidR="001937A0" w:rsidRPr="00BA13EC">
        <w:rPr>
          <w:rFonts w:ascii="Times New Roman" w:hAnsi="Times New Roman" w:cs="Times New Roman"/>
          <w:sz w:val="24"/>
          <w:szCs w:val="24"/>
        </w:rPr>
        <w:t>,</w:t>
      </w:r>
      <w:r w:rsidR="00F039B8" w:rsidRPr="00BA13EC">
        <w:rPr>
          <w:rFonts w:ascii="Times New Roman" w:hAnsi="Times New Roman" w:cs="Times New Roman"/>
          <w:sz w:val="24"/>
          <w:szCs w:val="24"/>
        </w:rPr>
        <w:t xml:space="preserve"> that have well-established track records and ongoing presence in the VET</w:t>
      </w:r>
      <w:r w:rsidR="00100E75" w:rsidRPr="00BA13EC">
        <w:rPr>
          <w:rFonts w:ascii="Times New Roman" w:hAnsi="Times New Roman" w:cs="Times New Roman"/>
          <w:sz w:val="24"/>
          <w:szCs w:val="24"/>
        </w:rPr>
        <w:t xml:space="preserve"> </w:t>
      </w:r>
      <w:r w:rsidR="0011343C" w:rsidRPr="00BA13EC">
        <w:rPr>
          <w:rFonts w:ascii="Times New Roman" w:hAnsi="Times New Roman" w:cs="Times New Roman"/>
          <w:sz w:val="24"/>
          <w:szCs w:val="24"/>
        </w:rPr>
        <w:t xml:space="preserve">sector </w:t>
      </w:r>
      <w:r w:rsidR="00100E75" w:rsidRPr="00BA13EC">
        <w:rPr>
          <w:rFonts w:ascii="Times New Roman" w:hAnsi="Times New Roman" w:cs="Times New Roman"/>
          <w:sz w:val="24"/>
          <w:szCs w:val="24"/>
        </w:rPr>
        <w:t>and whose number operating in higher education has grown to 11 (TDA, 2016)</w:t>
      </w:r>
      <w:r w:rsidR="00F039B8" w:rsidRPr="00BA13EC">
        <w:rPr>
          <w:rFonts w:ascii="Times New Roman" w:hAnsi="Times New Roman" w:cs="Times New Roman"/>
          <w:sz w:val="24"/>
          <w:szCs w:val="24"/>
        </w:rPr>
        <w:t xml:space="preserve">. </w:t>
      </w:r>
      <w:r w:rsidR="001937A0" w:rsidRPr="00BA13EC">
        <w:rPr>
          <w:rFonts w:ascii="Times New Roman" w:hAnsi="Times New Roman" w:cs="Times New Roman"/>
          <w:sz w:val="24"/>
          <w:szCs w:val="24"/>
        </w:rPr>
        <w:t>The rationale for</w:t>
      </w:r>
      <w:r w:rsidR="00100E75" w:rsidRPr="00BA13EC">
        <w:rPr>
          <w:rFonts w:ascii="Times New Roman" w:hAnsi="Times New Roman" w:cs="Times New Roman"/>
          <w:sz w:val="24"/>
          <w:szCs w:val="24"/>
        </w:rPr>
        <w:t xml:space="preserve"> this focus is that not only are TAFE institutes emblematic of the VET field (indeed, they were once </w:t>
      </w:r>
      <w:r w:rsidR="00674E22" w:rsidRPr="00BA13EC">
        <w:rPr>
          <w:rFonts w:ascii="Times New Roman" w:hAnsi="Times New Roman" w:cs="Times New Roman"/>
          <w:sz w:val="24"/>
          <w:szCs w:val="24"/>
        </w:rPr>
        <w:t xml:space="preserve">as synonymous with </w:t>
      </w:r>
      <w:r w:rsidR="002F3986" w:rsidRPr="00BA13EC">
        <w:rPr>
          <w:rFonts w:ascii="Times New Roman" w:hAnsi="Times New Roman" w:cs="Times New Roman"/>
          <w:sz w:val="24"/>
          <w:szCs w:val="24"/>
        </w:rPr>
        <w:t xml:space="preserve">the </w:t>
      </w:r>
      <w:r w:rsidR="00674E22" w:rsidRPr="00BA13EC">
        <w:rPr>
          <w:rFonts w:ascii="Times New Roman" w:hAnsi="Times New Roman" w:cs="Times New Roman"/>
          <w:sz w:val="24"/>
          <w:szCs w:val="24"/>
        </w:rPr>
        <w:t xml:space="preserve">VET </w:t>
      </w:r>
      <w:r w:rsidR="002F3986" w:rsidRPr="00BA13EC">
        <w:rPr>
          <w:rFonts w:ascii="Times New Roman" w:hAnsi="Times New Roman" w:cs="Times New Roman"/>
          <w:sz w:val="24"/>
          <w:szCs w:val="24"/>
        </w:rPr>
        <w:t xml:space="preserve">sector </w:t>
      </w:r>
      <w:r w:rsidR="00100E75" w:rsidRPr="00BA13EC">
        <w:rPr>
          <w:rFonts w:ascii="Times New Roman" w:hAnsi="Times New Roman" w:cs="Times New Roman"/>
          <w:sz w:val="24"/>
          <w:szCs w:val="24"/>
        </w:rPr>
        <w:t xml:space="preserve">as </w:t>
      </w:r>
      <w:r w:rsidR="00674E22" w:rsidRPr="00BA13EC">
        <w:rPr>
          <w:rFonts w:ascii="Times New Roman" w:hAnsi="Times New Roman" w:cs="Times New Roman"/>
          <w:sz w:val="24"/>
          <w:szCs w:val="24"/>
        </w:rPr>
        <w:t xml:space="preserve">universities were once </w:t>
      </w:r>
      <w:r w:rsidR="00100E75" w:rsidRPr="00BA13EC">
        <w:rPr>
          <w:rFonts w:ascii="Times New Roman" w:hAnsi="Times New Roman" w:cs="Times New Roman"/>
          <w:sz w:val="24"/>
          <w:szCs w:val="24"/>
        </w:rPr>
        <w:t>with higher education)</w:t>
      </w:r>
      <w:r w:rsidR="003C2A97" w:rsidRPr="00BA13EC">
        <w:rPr>
          <w:rFonts w:ascii="Times New Roman" w:hAnsi="Times New Roman" w:cs="Times New Roman"/>
          <w:sz w:val="24"/>
          <w:szCs w:val="24"/>
        </w:rPr>
        <w:t>, they</w:t>
      </w:r>
      <w:r w:rsidR="00100E75" w:rsidRPr="00BA13EC">
        <w:rPr>
          <w:rFonts w:ascii="Times New Roman" w:hAnsi="Times New Roman" w:cs="Times New Roman"/>
          <w:sz w:val="24"/>
          <w:szCs w:val="24"/>
        </w:rPr>
        <w:t xml:space="preserve"> are large organisations </w:t>
      </w:r>
      <w:r w:rsidR="003C2A97" w:rsidRPr="00BA13EC">
        <w:rPr>
          <w:rFonts w:ascii="Times New Roman" w:hAnsi="Times New Roman" w:cs="Times New Roman"/>
          <w:sz w:val="24"/>
          <w:szCs w:val="24"/>
        </w:rPr>
        <w:t xml:space="preserve">with, as a set, a </w:t>
      </w:r>
      <w:r w:rsidR="002F3986" w:rsidRPr="00BA13EC">
        <w:rPr>
          <w:rFonts w:ascii="Times New Roman" w:hAnsi="Times New Roman" w:cs="Times New Roman"/>
          <w:sz w:val="24"/>
          <w:szCs w:val="24"/>
        </w:rPr>
        <w:t>relatively high</w:t>
      </w:r>
      <w:r w:rsidR="00257219" w:rsidRPr="00BA13EC">
        <w:rPr>
          <w:rFonts w:ascii="Times New Roman" w:hAnsi="Times New Roman" w:cs="Times New Roman"/>
          <w:sz w:val="24"/>
          <w:szCs w:val="24"/>
        </w:rPr>
        <w:t xml:space="preserve"> number of higher e</w:t>
      </w:r>
      <w:r w:rsidR="002F3986" w:rsidRPr="00BA13EC">
        <w:rPr>
          <w:rFonts w:ascii="Times New Roman" w:hAnsi="Times New Roman" w:cs="Times New Roman"/>
          <w:sz w:val="24"/>
          <w:szCs w:val="24"/>
        </w:rPr>
        <w:t>ducation students and extensive</w:t>
      </w:r>
      <w:r w:rsidR="00257219" w:rsidRPr="00BA13EC">
        <w:rPr>
          <w:rFonts w:ascii="Times New Roman" w:hAnsi="Times New Roman" w:cs="Times New Roman"/>
          <w:sz w:val="24"/>
          <w:szCs w:val="24"/>
        </w:rPr>
        <w:t xml:space="preserve"> range of undergraduate degree offerings. </w:t>
      </w:r>
      <w:r w:rsidR="003C2A97" w:rsidRPr="00BA13EC">
        <w:rPr>
          <w:rFonts w:ascii="Times New Roman" w:hAnsi="Times New Roman" w:cs="Times New Roman"/>
          <w:sz w:val="24"/>
          <w:szCs w:val="24"/>
        </w:rPr>
        <w:t>In addition, they share a policy platform articulated and promoted by their representative organisation, TAFE Directors A</w:t>
      </w:r>
      <w:r w:rsidR="002F3986" w:rsidRPr="00BA13EC">
        <w:rPr>
          <w:rFonts w:ascii="Times New Roman" w:hAnsi="Times New Roman" w:cs="Times New Roman"/>
          <w:sz w:val="24"/>
          <w:szCs w:val="24"/>
        </w:rPr>
        <w:t>ustralia (TDA). They possess</w:t>
      </w:r>
      <w:r w:rsidR="003C2A97" w:rsidRPr="00BA13EC">
        <w:rPr>
          <w:rFonts w:ascii="Times New Roman" w:hAnsi="Times New Roman" w:cs="Times New Roman"/>
          <w:sz w:val="24"/>
          <w:szCs w:val="24"/>
        </w:rPr>
        <w:t xml:space="preserve"> a </w:t>
      </w:r>
      <w:r w:rsidR="00674D6A" w:rsidRPr="00BA13EC">
        <w:rPr>
          <w:rFonts w:ascii="Times New Roman" w:hAnsi="Times New Roman" w:cs="Times New Roman"/>
          <w:sz w:val="24"/>
          <w:szCs w:val="24"/>
        </w:rPr>
        <w:t xml:space="preserve">common </w:t>
      </w:r>
      <w:r w:rsidR="003C2A97" w:rsidRPr="00BA13EC">
        <w:rPr>
          <w:rFonts w:ascii="Times New Roman" w:hAnsi="Times New Roman" w:cs="Times New Roman"/>
          <w:sz w:val="24"/>
          <w:szCs w:val="24"/>
        </w:rPr>
        <w:t>history of development and</w:t>
      </w:r>
      <w:r w:rsidR="002F3986" w:rsidRPr="00BA13EC">
        <w:rPr>
          <w:rFonts w:ascii="Times New Roman" w:hAnsi="Times New Roman" w:cs="Times New Roman"/>
          <w:sz w:val="24"/>
          <w:szCs w:val="24"/>
        </w:rPr>
        <w:t xml:space="preserve"> dealing with</w:t>
      </w:r>
      <w:r w:rsidR="003C2A97" w:rsidRPr="00BA13EC">
        <w:rPr>
          <w:rFonts w:ascii="Times New Roman" w:hAnsi="Times New Roman" w:cs="Times New Roman"/>
          <w:sz w:val="24"/>
          <w:szCs w:val="24"/>
        </w:rPr>
        <w:t xml:space="preserve"> challenges</w:t>
      </w:r>
      <w:r w:rsidR="00BA2068" w:rsidRPr="00BA13EC">
        <w:rPr>
          <w:rFonts w:ascii="Times New Roman" w:hAnsi="Times New Roman" w:cs="Times New Roman"/>
          <w:sz w:val="24"/>
          <w:szCs w:val="24"/>
        </w:rPr>
        <w:t xml:space="preserve"> s</w:t>
      </w:r>
      <w:r w:rsidR="002F3986" w:rsidRPr="00BA13EC">
        <w:rPr>
          <w:rFonts w:ascii="Times New Roman" w:hAnsi="Times New Roman" w:cs="Times New Roman"/>
          <w:sz w:val="24"/>
          <w:szCs w:val="24"/>
        </w:rPr>
        <w:t>uch as</w:t>
      </w:r>
      <w:r w:rsidR="00BA2068" w:rsidRPr="00BA13EC">
        <w:rPr>
          <w:rFonts w:ascii="Times New Roman" w:hAnsi="Times New Roman" w:cs="Times New Roman"/>
          <w:sz w:val="24"/>
          <w:szCs w:val="24"/>
        </w:rPr>
        <w:t xml:space="preserve"> reforms that opened the VET sector to private providers</w:t>
      </w:r>
      <w:r w:rsidR="001937A0" w:rsidRPr="00BA13EC">
        <w:rPr>
          <w:rFonts w:ascii="Times New Roman" w:hAnsi="Times New Roman" w:cs="Times New Roman"/>
          <w:sz w:val="24"/>
          <w:szCs w:val="24"/>
        </w:rPr>
        <w:t xml:space="preserve">. Focusing on public VET institutions that have entered higher education </w:t>
      </w:r>
      <w:r w:rsidR="00674E22" w:rsidRPr="00BA13EC">
        <w:rPr>
          <w:rFonts w:ascii="Times New Roman" w:hAnsi="Times New Roman" w:cs="Times New Roman"/>
          <w:sz w:val="24"/>
          <w:szCs w:val="24"/>
        </w:rPr>
        <w:t>therefore facilitates analysis</w:t>
      </w:r>
      <w:r w:rsidR="00674D6A" w:rsidRPr="00BA13EC">
        <w:rPr>
          <w:rFonts w:ascii="Times New Roman" w:hAnsi="Times New Roman" w:cs="Times New Roman"/>
          <w:sz w:val="24"/>
          <w:szCs w:val="24"/>
        </w:rPr>
        <w:t xml:space="preserve"> of changes in the field</w:t>
      </w:r>
      <w:r w:rsidR="00674E22" w:rsidRPr="00BA13EC">
        <w:rPr>
          <w:rFonts w:ascii="Times New Roman" w:hAnsi="Times New Roman" w:cs="Times New Roman"/>
          <w:sz w:val="24"/>
          <w:szCs w:val="24"/>
        </w:rPr>
        <w:t xml:space="preserve">, especially in relation to </w:t>
      </w:r>
      <w:r w:rsidR="00674D6A" w:rsidRPr="00BA13EC">
        <w:rPr>
          <w:rFonts w:ascii="Times New Roman" w:hAnsi="Times New Roman" w:cs="Times New Roman"/>
          <w:sz w:val="24"/>
          <w:szCs w:val="24"/>
        </w:rPr>
        <w:t xml:space="preserve">the </w:t>
      </w:r>
      <w:r w:rsidR="00674E22" w:rsidRPr="00BA13EC">
        <w:rPr>
          <w:rFonts w:ascii="Times New Roman" w:hAnsi="Times New Roman" w:cs="Times New Roman"/>
          <w:sz w:val="24"/>
          <w:szCs w:val="24"/>
        </w:rPr>
        <w:t xml:space="preserve">policy and </w:t>
      </w:r>
      <w:r w:rsidR="00674E22" w:rsidRPr="00BA13EC">
        <w:rPr>
          <w:rFonts w:ascii="Times New Roman" w:hAnsi="Times New Roman" w:cs="Times New Roman"/>
          <w:sz w:val="24"/>
          <w:szCs w:val="24"/>
        </w:rPr>
        <w:lastRenderedPageBreak/>
        <w:t>market positioning</w:t>
      </w:r>
      <w:r w:rsidR="00674D6A" w:rsidRPr="00BA13EC">
        <w:rPr>
          <w:rFonts w:ascii="Times New Roman" w:hAnsi="Times New Roman" w:cs="Times New Roman"/>
          <w:sz w:val="24"/>
          <w:szCs w:val="24"/>
        </w:rPr>
        <w:t xml:space="preserve"> of new entrants</w:t>
      </w:r>
      <w:r w:rsidR="00674E22" w:rsidRPr="00BA13EC">
        <w:rPr>
          <w:rFonts w:ascii="Times New Roman" w:hAnsi="Times New Roman" w:cs="Times New Roman"/>
          <w:sz w:val="24"/>
          <w:szCs w:val="24"/>
        </w:rPr>
        <w:t>.</w:t>
      </w:r>
      <w:r w:rsidR="002F3986" w:rsidRPr="00BA13EC">
        <w:rPr>
          <w:rFonts w:ascii="Times New Roman" w:hAnsi="Times New Roman" w:cs="Times New Roman"/>
          <w:sz w:val="24"/>
          <w:szCs w:val="24"/>
        </w:rPr>
        <w:t xml:space="preserve"> This is an analytic strategy that excludes extensive activity in higher education by private providers that also have historical links with </w:t>
      </w:r>
      <w:r w:rsidR="00405A72" w:rsidRPr="00BA13EC">
        <w:rPr>
          <w:rFonts w:ascii="Times New Roman" w:hAnsi="Times New Roman" w:cs="Times New Roman"/>
          <w:sz w:val="24"/>
          <w:szCs w:val="24"/>
        </w:rPr>
        <w:t>the</w:t>
      </w:r>
      <w:r w:rsidR="002F3986" w:rsidRPr="00BA13EC">
        <w:rPr>
          <w:rFonts w:ascii="Times New Roman" w:hAnsi="Times New Roman" w:cs="Times New Roman"/>
          <w:sz w:val="24"/>
          <w:szCs w:val="24"/>
        </w:rPr>
        <w:t xml:space="preserve"> VET sector.</w:t>
      </w:r>
    </w:p>
    <w:p w:rsidR="00674E22" w:rsidRPr="00BA13EC" w:rsidRDefault="00674D6A"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TAFE institutes started to lobby for permission to offer undergraduate degrees </w:t>
      </w:r>
      <w:r w:rsidR="003C6639" w:rsidRPr="00BA13EC">
        <w:rPr>
          <w:rFonts w:ascii="Times New Roman" w:hAnsi="Times New Roman" w:cs="Times New Roman"/>
          <w:sz w:val="24"/>
          <w:szCs w:val="24"/>
        </w:rPr>
        <w:t>– the “bread and butter”</w:t>
      </w:r>
      <w:r w:rsidR="002F3986" w:rsidRPr="00BA13EC">
        <w:rPr>
          <w:rFonts w:ascii="Times New Roman" w:hAnsi="Times New Roman" w:cs="Times New Roman"/>
          <w:sz w:val="24"/>
          <w:szCs w:val="24"/>
        </w:rPr>
        <w:t xml:space="preserve"> of university provision – </w:t>
      </w:r>
      <w:r w:rsidRPr="00BA13EC">
        <w:rPr>
          <w:rFonts w:ascii="Times New Roman" w:hAnsi="Times New Roman" w:cs="Times New Roman"/>
          <w:sz w:val="24"/>
          <w:szCs w:val="24"/>
        </w:rPr>
        <w:t>in the late 1990s. The South Australian Hansard of 11 February, 1997, reports a debate about the benefits of TAFE offering degrees</w:t>
      </w:r>
      <w:r w:rsidR="00082178" w:rsidRPr="00BA13EC">
        <w:rPr>
          <w:rFonts w:ascii="Times New Roman" w:hAnsi="Times New Roman" w:cs="Times New Roman"/>
          <w:sz w:val="24"/>
          <w:szCs w:val="24"/>
        </w:rPr>
        <w:t xml:space="preserve"> (Gale et al. 2013)</w:t>
      </w:r>
      <w:r w:rsidRPr="00BA13EC">
        <w:rPr>
          <w:rFonts w:ascii="Times New Roman" w:hAnsi="Times New Roman" w:cs="Times New Roman"/>
          <w:sz w:val="24"/>
          <w:szCs w:val="24"/>
        </w:rPr>
        <w:t>. It was argued that such degrees would address specific industry skill needs, a demand that existing university-based provision could not</w:t>
      </w:r>
      <w:r w:rsidR="002F3986" w:rsidRPr="00BA13EC">
        <w:rPr>
          <w:rFonts w:ascii="Times New Roman" w:hAnsi="Times New Roman" w:cs="Times New Roman"/>
          <w:sz w:val="24"/>
          <w:szCs w:val="24"/>
        </w:rPr>
        <w:t xml:space="preserve"> satisfy. However, this push</w:t>
      </w:r>
      <w:r w:rsidRPr="00BA13EC">
        <w:rPr>
          <w:rFonts w:ascii="Times New Roman" w:hAnsi="Times New Roman" w:cs="Times New Roman"/>
          <w:sz w:val="24"/>
          <w:szCs w:val="24"/>
        </w:rPr>
        <w:t xml:space="preserve"> did not </w:t>
      </w:r>
      <w:r w:rsidR="003C6639" w:rsidRPr="00BA13EC">
        <w:rPr>
          <w:rFonts w:ascii="Times New Roman" w:hAnsi="Times New Roman" w:cs="Times New Roman"/>
          <w:sz w:val="24"/>
          <w:szCs w:val="24"/>
        </w:rPr>
        <w:t>succeed</w:t>
      </w:r>
      <w:r w:rsidR="006862AF" w:rsidRPr="00BA13EC">
        <w:rPr>
          <w:rFonts w:ascii="Times New Roman" w:hAnsi="Times New Roman" w:cs="Times New Roman"/>
          <w:sz w:val="24"/>
          <w:szCs w:val="24"/>
        </w:rPr>
        <w:t xml:space="preserve"> at that stage</w:t>
      </w:r>
      <w:r w:rsidR="00082178" w:rsidRPr="00BA13EC">
        <w:rPr>
          <w:rFonts w:ascii="Times New Roman" w:hAnsi="Times New Roman" w:cs="Times New Roman"/>
          <w:sz w:val="24"/>
          <w:szCs w:val="24"/>
        </w:rPr>
        <w:t>. In Victoria a few years later a group of TAFEs lobbied the state government for permission to offer degrees. Once again, specialised industry skill needs were amon</w:t>
      </w:r>
      <w:r w:rsidR="002F3986" w:rsidRPr="00BA13EC">
        <w:rPr>
          <w:rFonts w:ascii="Times New Roman" w:hAnsi="Times New Roman" w:cs="Times New Roman"/>
          <w:sz w:val="24"/>
          <w:szCs w:val="24"/>
        </w:rPr>
        <w:t>g the reasons cited for the movement</w:t>
      </w:r>
      <w:r w:rsidR="00082178" w:rsidRPr="00BA13EC">
        <w:rPr>
          <w:rFonts w:ascii="Times New Roman" w:hAnsi="Times New Roman" w:cs="Times New Roman"/>
          <w:sz w:val="24"/>
          <w:szCs w:val="24"/>
        </w:rPr>
        <w:t xml:space="preserve">. In the Victorian </w:t>
      </w:r>
      <w:r w:rsidR="002F3986" w:rsidRPr="00BA13EC">
        <w:rPr>
          <w:rFonts w:ascii="Times New Roman" w:hAnsi="Times New Roman" w:cs="Times New Roman"/>
          <w:sz w:val="24"/>
          <w:szCs w:val="24"/>
        </w:rPr>
        <w:t xml:space="preserve">context the lobbying </w:t>
      </w:r>
      <w:r w:rsidR="00082178" w:rsidRPr="00BA13EC">
        <w:rPr>
          <w:rFonts w:ascii="Times New Roman" w:hAnsi="Times New Roman" w:cs="Times New Roman"/>
          <w:sz w:val="24"/>
          <w:szCs w:val="24"/>
        </w:rPr>
        <w:t>bore fruit. In 2002 the Victorian government released a policy statement which among other things announced that,</w:t>
      </w:r>
    </w:p>
    <w:p w:rsidR="00082178" w:rsidRPr="00BA13EC" w:rsidRDefault="00082178" w:rsidP="000B2D7A">
      <w:pPr>
        <w:ind w:left="720"/>
        <w:jc w:val="both"/>
        <w:rPr>
          <w:rFonts w:ascii="Times New Roman" w:hAnsi="Times New Roman" w:cs="Times New Roman"/>
          <w:sz w:val="24"/>
          <w:szCs w:val="24"/>
        </w:rPr>
      </w:pPr>
      <w:r w:rsidRPr="00BA13EC">
        <w:rPr>
          <w:rFonts w:ascii="Times New Roman" w:hAnsi="Times New Roman" w:cs="Times New Roman"/>
          <w:sz w:val="24"/>
          <w:szCs w:val="24"/>
        </w:rPr>
        <w:t xml:space="preserve">TAFE Institutes will be able to seek approval to deliver degrees under the same processes that currently apply to any other providers approved to deliver higher education courses under the Tertiary Education Act 1993. </w:t>
      </w:r>
      <w:r w:rsidRPr="00BA13EC">
        <w:rPr>
          <w:rFonts w:ascii="Times New Roman" w:hAnsi="Times New Roman" w:cs="Times New Roman"/>
          <w:i/>
          <w:sz w:val="24"/>
          <w:szCs w:val="24"/>
        </w:rPr>
        <w:t>It would be expected that these degrees would be strongly vocational in focus and show clear linkages to the Training Package competencies in the relevant industry sector.</w:t>
      </w:r>
      <w:r w:rsidRPr="00BA13EC">
        <w:rPr>
          <w:rFonts w:ascii="Times New Roman" w:hAnsi="Times New Roman" w:cs="Times New Roman"/>
          <w:sz w:val="24"/>
          <w:szCs w:val="24"/>
        </w:rPr>
        <w:t xml:space="preserve"> (Kosky 2002, p. 9, italics added)</w:t>
      </w:r>
    </w:p>
    <w:p w:rsidR="00082178" w:rsidRPr="00BA13EC" w:rsidRDefault="00082178" w:rsidP="000B2D7A">
      <w:pPr>
        <w:jc w:val="both"/>
        <w:rPr>
          <w:rFonts w:ascii="Times New Roman" w:hAnsi="Times New Roman" w:cs="Times New Roman"/>
          <w:sz w:val="24"/>
          <w:szCs w:val="24"/>
        </w:rPr>
      </w:pPr>
      <w:r w:rsidRPr="00BA13EC">
        <w:rPr>
          <w:rFonts w:ascii="Times New Roman" w:hAnsi="Times New Roman" w:cs="Times New Roman"/>
          <w:sz w:val="24"/>
          <w:szCs w:val="24"/>
        </w:rPr>
        <w:t>Victorian TAFEs developed and offered degrees shortly after, with North Melbourne Institute of TAFE (NMIT) taking enrolments into its initial higher ed</w:t>
      </w:r>
      <w:r w:rsidR="002F3986" w:rsidRPr="00BA13EC">
        <w:rPr>
          <w:rFonts w:ascii="Times New Roman" w:hAnsi="Times New Roman" w:cs="Times New Roman"/>
          <w:sz w:val="24"/>
          <w:szCs w:val="24"/>
        </w:rPr>
        <w:t xml:space="preserve">ucation offerings in 2004. </w:t>
      </w:r>
      <w:r w:rsidRPr="00BA13EC">
        <w:rPr>
          <w:rFonts w:ascii="Times New Roman" w:hAnsi="Times New Roman" w:cs="Times New Roman"/>
          <w:sz w:val="24"/>
          <w:szCs w:val="24"/>
        </w:rPr>
        <w:t>Box Hill, Holmesglen and Will</w:t>
      </w:r>
      <w:r w:rsidR="002F3986" w:rsidRPr="00BA13EC">
        <w:rPr>
          <w:rFonts w:ascii="Times New Roman" w:hAnsi="Times New Roman" w:cs="Times New Roman"/>
          <w:sz w:val="24"/>
          <w:szCs w:val="24"/>
        </w:rPr>
        <w:t>iam Angliss Institutes accepted</w:t>
      </w:r>
      <w:r w:rsidRPr="00BA13EC">
        <w:rPr>
          <w:rFonts w:ascii="Times New Roman" w:hAnsi="Times New Roman" w:cs="Times New Roman"/>
          <w:sz w:val="24"/>
          <w:szCs w:val="24"/>
        </w:rPr>
        <w:t xml:space="preserve"> their first bachelor degree enrolments in the following years. </w:t>
      </w:r>
      <w:r w:rsidR="000336E7" w:rsidRPr="00BA13EC">
        <w:rPr>
          <w:rFonts w:ascii="Times New Roman" w:hAnsi="Times New Roman" w:cs="Times New Roman"/>
          <w:sz w:val="24"/>
          <w:szCs w:val="24"/>
        </w:rPr>
        <w:t>Following these developments in Victoria, TAFEs in the states of South Australia, ACT, NSW and Queensland were also permitted to offer degrees by their respective state accrediting authorities (Gale et al., 2013).</w:t>
      </w:r>
    </w:p>
    <w:p w:rsidR="00257219" w:rsidRPr="00BA13EC" w:rsidRDefault="000336E7" w:rsidP="000B2D7A">
      <w:pPr>
        <w:jc w:val="both"/>
        <w:rPr>
          <w:rFonts w:ascii="Times New Roman" w:hAnsi="Times New Roman" w:cs="Times New Roman"/>
          <w:sz w:val="24"/>
          <w:szCs w:val="24"/>
        </w:rPr>
      </w:pPr>
      <w:r w:rsidRPr="00BA13EC">
        <w:rPr>
          <w:rFonts w:ascii="Times New Roman" w:hAnsi="Times New Roman" w:cs="Times New Roman"/>
          <w:sz w:val="24"/>
          <w:szCs w:val="24"/>
        </w:rPr>
        <w:t>By 2013, there were 10 TAFE providers of higher education (some individual institutes, some s</w:t>
      </w:r>
      <w:r w:rsidR="00B73CBF" w:rsidRPr="00BA13EC">
        <w:rPr>
          <w:rFonts w:ascii="Times New Roman" w:hAnsi="Times New Roman" w:cs="Times New Roman"/>
          <w:sz w:val="24"/>
          <w:szCs w:val="24"/>
        </w:rPr>
        <w:t>tate systems). Examples of their</w:t>
      </w:r>
      <w:r w:rsidRPr="00BA13EC">
        <w:rPr>
          <w:rFonts w:ascii="Times New Roman" w:hAnsi="Times New Roman" w:cs="Times New Roman"/>
          <w:sz w:val="24"/>
          <w:szCs w:val="24"/>
        </w:rPr>
        <w:t xml:space="preserve"> degrees include:</w:t>
      </w:r>
    </w:p>
    <w:p w:rsidR="000336E7" w:rsidRPr="00BA13EC" w:rsidRDefault="000336E7" w:rsidP="000B2D7A">
      <w:pPr>
        <w:jc w:val="both"/>
        <w:rPr>
          <w:rFonts w:ascii="Times New Roman" w:hAnsi="Times New Roman" w:cs="Times New Roman"/>
          <w:sz w:val="24"/>
          <w:szCs w:val="24"/>
        </w:rPr>
      </w:pPr>
      <w:r w:rsidRPr="00BA13EC">
        <w:rPr>
          <w:rFonts w:ascii="Times New Roman" w:hAnsi="Times New Roman" w:cs="Times New Roman"/>
          <w:sz w:val="24"/>
          <w:szCs w:val="24"/>
        </w:rPr>
        <w:t>TAFE SA (South Australia):</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Associate Degree of Electronic Engineering</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Bachelor of Dance Performance</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Bachelor of Visual Arts and Design</w:t>
      </w:r>
    </w:p>
    <w:p w:rsidR="000336E7" w:rsidRPr="00BA13EC" w:rsidRDefault="000336E7" w:rsidP="000B2D7A">
      <w:pPr>
        <w:jc w:val="both"/>
        <w:rPr>
          <w:rFonts w:ascii="Times New Roman" w:hAnsi="Times New Roman" w:cs="Times New Roman"/>
          <w:sz w:val="24"/>
          <w:szCs w:val="24"/>
        </w:rPr>
      </w:pPr>
      <w:r w:rsidRPr="00BA13EC">
        <w:rPr>
          <w:rFonts w:ascii="Times New Roman" w:hAnsi="Times New Roman" w:cs="Times New Roman"/>
          <w:sz w:val="24"/>
          <w:szCs w:val="24"/>
        </w:rPr>
        <w:t>Polytechnic West (WA):</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Associate Degree in Aviation (Aeronautics)</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Associate Degree in Aviation (Maintenance Engineering)</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Associate Degree in Aviation (Operations Management)</w:t>
      </w:r>
    </w:p>
    <w:p w:rsidR="000336E7" w:rsidRPr="00BA13EC" w:rsidRDefault="000336E7" w:rsidP="000B2D7A">
      <w:pPr>
        <w:jc w:val="both"/>
        <w:rPr>
          <w:rFonts w:ascii="Times New Roman" w:hAnsi="Times New Roman" w:cs="Times New Roman"/>
          <w:sz w:val="24"/>
          <w:szCs w:val="24"/>
        </w:rPr>
      </w:pPr>
      <w:r w:rsidRPr="00BA13EC">
        <w:rPr>
          <w:rFonts w:ascii="Times New Roman" w:hAnsi="Times New Roman" w:cs="Times New Roman"/>
          <w:sz w:val="24"/>
          <w:szCs w:val="24"/>
        </w:rPr>
        <w:t>TAFE NSW (New South Wales) Higher Education:</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Bachelor of 3D Art and Animation</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t>Bachelor of Applied Finance (Financial Planning)</w:t>
      </w:r>
    </w:p>
    <w:p w:rsidR="000336E7" w:rsidRPr="00BA13EC" w:rsidRDefault="000336E7" w:rsidP="000B2D7A">
      <w:pPr>
        <w:pStyle w:val="ListParagraph"/>
        <w:numPr>
          <w:ilvl w:val="0"/>
          <w:numId w:val="2"/>
        </w:numPr>
        <w:jc w:val="both"/>
        <w:rPr>
          <w:rFonts w:ascii="Times New Roman" w:hAnsi="Times New Roman" w:cs="Times New Roman"/>
          <w:sz w:val="24"/>
          <w:szCs w:val="24"/>
        </w:rPr>
      </w:pPr>
      <w:r w:rsidRPr="00BA13EC">
        <w:rPr>
          <w:rFonts w:ascii="Times New Roman" w:hAnsi="Times New Roman" w:cs="Times New Roman"/>
          <w:sz w:val="24"/>
          <w:szCs w:val="24"/>
        </w:rPr>
        <w:lastRenderedPageBreak/>
        <w:t>Bachelor of Early Childhood Education and Care (Birth-5)</w:t>
      </w:r>
    </w:p>
    <w:p w:rsidR="003C2A97" w:rsidRPr="00BA13EC" w:rsidRDefault="000336E7" w:rsidP="000B2D7A">
      <w:pPr>
        <w:jc w:val="both"/>
        <w:rPr>
          <w:rFonts w:ascii="Times New Roman" w:hAnsi="Times New Roman" w:cs="Times New Roman"/>
          <w:sz w:val="24"/>
          <w:szCs w:val="24"/>
        </w:rPr>
      </w:pPr>
      <w:r w:rsidRPr="00BA13EC">
        <w:rPr>
          <w:rFonts w:ascii="Times New Roman" w:hAnsi="Times New Roman" w:cs="Times New Roman"/>
          <w:sz w:val="24"/>
          <w:szCs w:val="24"/>
        </w:rPr>
        <w:t>(Source: Gale et al. 2013)</w:t>
      </w:r>
    </w:p>
    <w:p w:rsidR="000336E7" w:rsidRPr="00BA13EC" w:rsidRDefault="00B73CBF" w:rsidP="000B2D7A">
      <w:pPr>
        <w:jc w:val="both"/>
        <w:rPr>
          <w:rFonts w:ascii="Times New Roman" w:hAnsi="Times New Roman" w:cs="Times New Roman"/>
          <w:sz w:val="24"/>
          <w:szCs w:val="24"/>
        </w:rPr>
      </w:pPr>
      <w:r w:rsidRPr="00BA13EC">
        <w:rPr>
          <w:rFonts w:ascii="Times New Roman" w:hAnsi="Times New Roman" w:cs="Times New Roman"/>
          <w:sz w:val="24"/>
          <w:szCs w:val="24"/>
        </w:rPr>
        <w:t>What is clear from these examples is that TAFE degrees have a strong vocational focus. They name jobs, roles and specialisations, and they send a message that curriculum, pedagogy and assessment will be appropriate to equip students who have vocationa</w:t>
      </w:r>
      <w:r w:rsidR="002F3986" w:rsidRPr="00BA13EC">
        <w:rPr>
          <w:rFonts w:ascii="Times New Roman" w:hAnsi="Times New Roman" w:cs="Times New Roman"/>
          <w:sz w:val="24"/>
          <w:szCs w:val="24"/>
        </w:rPr>
        <w:t>l aspirations with the higher-level</w:t>
      </w:r>
      <w:r w:rsidRPr="00BA13EC">
        <w:rPr>
          <w:rFonts w:ascii="Times New Roman" w:hAnsi="Times New Roman" w:cs="Times New Roman"/>
          <w:sz w:val="24"/>
          <w:szCs w:val="24"/>
        </w:rPr>
        <w:t xml:space="preserve"> skills and knowledge to do the work in question. </w:t>
      </w:r>
      <w:r w:rsidR="00F35BD1" w:rsidRPr="00BA13EC">
        <w:rPr>
          <w:rFonts w:ascii="Times New Roman" w:hAnsi="Times New Roman" w:cs="Times New Roman"/>
          <w:sz w:val="24"/>
          <w:szCs w:val="24"/>
        </w:rPr>
        <w:t>University b</w:t>
      </w:r>
      <w:r w:rsidR="00CE511E" w:rsidRPr="00BA13EC">
        <w:rPr>
          <w:rFonts w:ascii="Times New Roman" w:hAnsi="Times New Roman" w:cs="Times New Roman"/>
          <w:sz w:val="24"/>
          <w:szCs w:val="24"/>
        </w:rPr>
        <w:t>ased degrees certainly include qualifications with vocational-sounding titles, but provision prominently includes non-vocational degrees, such as Bachelor of Arts qualifications.</w:t>
      </w:r>
    </w:p>
    <w:p w:rsidR="00B73CBF" w:rsidRPr="00BA13EC" w:rsidRDefault="009B2720" w:rsidP="000B2D7A">
      <w:pPr>
        <w:jc w:val="both"/>
        <w:rPr>
          <w:rFonts w:ascii="Times New Roman" w:hAnsi="Times New Roman" w:cs="Times New Roman"/>
          <w:sz w:val="24"/>
          <w:szCs w:val="24"/>
        </w:rPr>
      </w:pPr>
      <w:r w:rsidRPr="00BA13EC">
        <w:rPr>
          <w:rFonts w:ascii="Times New Roman" w:hAnsi="Times New Roman" w:cs="Times New Roman"/>
          <w:sz w:val="24"/>
          <w:szCs w:val="24"/>
        </w:rPr>
        <w:t>These developments need to be kept in</w:t>
      </w:r>
      <w:r w:rsidR="004927F6" w:rsidRPr="00BA13EC">
        <w:rPr>
          <w:rFonts w:ascii="Times New Roman" w:hAnsi="Times New Roman" w:cs="Times New Roman"/>
          <w:sz w:val="24"/>
          <w:szCs w:val="24"/>
        </w:rPr>
        <w:t xml:space="preserve"> perspective. According to the C</w:t>
      </w:r>
      <w:r w:rsidRPr="00BA13EC">
        <w:rPr>
          <w:rFonts w:ascii="Times New Roman" w:hAnsi="Times New Roman" w:cs="Times New Roman"/>
          <w:sz w:val="24"/>
          <w:szCs w:val="24"/>
        </w:rPr>
        <w:t>ommonwealth Department of Education and Training (DET, 2015), there were some 1,025,670 domestic students (equivalent full-time) in Australian higher education in 2014. Enrolments into non-university providers, including TAFEs, represented a small proportion of students as the following diagram shows:</w:t>
      </w:r>
    </w:p>
    <w:p w:rsidR="009B2720" w:rsidRPr="00BA13EC" w:rsidRDefault="009B2720" w:rsidP="000B2D7A">
      <w:pPr>
        <w:jc w:val="both"/>
        <w:rPr>
          <w:rFonts w:ascii="Times New Roman" w:hAnsi="Times New Roman" w:cs="Times New Roman"/>
          <w:sz w:val="24"/>
          <w:szCs w:val="24"/>
        </w:rPr>
      </w:pPr>
      <w:r w:rsidRPr="00BA13EC">
        <w:rPr>
          <w:rFonts w:ascii="Times New Roman" w:hAnsi="Times New Roman" w:cs="Times New Roman"/>
          <w:sz w:val="24"/>
          <w:szCs w:val="24"/>
        </w:rPr>
        <w:t>Figure 1: Domestic students Equivalent Full-Time Student Load (EFTSL) by provider type and metro/regional, 2014</w:t>
      </w:r>
    </w:p>
    <w:p w:rsidR="009B2720" w:rsidRPr="00BA13EC" w:rsidRDefault="009B2720" w:rsidP="000B2D7A">
      <w:pPr>
        <w:jc w:val="both"/>
        <w:rPr>
          <w:rFonts w:ascii="Times New Roman" w:hAnsi="Times New Roman" w:cs="Times New Roman"/>
          <w:sz w:val="24"/>
          <w:szCs w:val="24"/>
        </w:rPr>
      </w:pPr>
      <w:r w:rsidRPr="00BA13EC">
        <w:rPr>
          <w:rFonts w:ascii="Times New Roman" w:hAnsi="Times New Roman" w:cs="Times New Roman"/>
          <w:noProof/>
          <w:sz w:val="24"/>
          <w:szCs w:val="24"/>
        </w:rPr>
        <w:drawing>
          <wp:inline distT="0" distB="0" distL="0" distR="0" wp14:anchorId="12794A97" wp14:editId="522F2ED6">
            <wp:extent cx="5616054" cy="323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3707" t="17429" r="16209" b="8691"/>
                    <a:stretch/>
                  </pic:blipFill>
                  <pic:spPr bwMode="auto">
                    <a:xfrm>
                      <a:off x="0" y="0"/>
                      <a:ext cx="5622208" cy="3241374"/>
                    </a:xfrm>
                    <a:prstGeom prst="rect">
                      <a:avLst/>
                    </a:prstGeom>
                    <a:ln>
                      <a:noFill/>
                    </a:ln>
                    <a:extLst>
                      <a:ext uri="{53640926-AAD7-44D8-BBD7-CCE9431645EC}">
                        <a14:shadowObscured xmlns:a14="http://schemas.microsoft.com/office/drawing/2010/main"/>
                      </a:ext>
                    </a:extLst>
                  </pic:spPr>
                </pic:pic>
              </a:graphicData>
            </a:graphic>
          </wp:inline>
        </w:drawing>
      </w:r>
    </w:p>
    <w:p w:rsidR="009B2720" w:rsidRPr="00BA13EC" w:rsidRDefault="009B2720" w:rsidP="000B2D7A">
      <w:pPr>
        <w:jc w:val="both"/>
        <w:rPr>
          <w:rFonts w:ascii="Times New Roman" w:hAnsi="Times New Roman" w:cs="Times New Roman"/>
          <w:sz w:val="24"/>
          <w:szCs w:val="24"/>
        </w:rPr>
      </w:pPr>
      <w:r w:rsidRPr="00BA13EC">
        <w:rPr>
          <w:rFonts w:ascii="Times New Roman" w:hAnsi="Times New Roman" w:cs="Times New Roman"/>
          <w:sz w:val="24"/>
          <w:szCs w:val="24"/>
        </w:rPr>
        <w:t>(Source: DET</w:t>
      </w:r>
      <w:r w:rsidR="00A114D6" w:rsidRPr="00BA13EC">
        <w:rPr>
          <w:rFonts w:ascii="Times New Roman" w:hAnsi="Times New Roman" w:cs="Times New Roman"/>
          <w:sz w:val="24"/>
          <w:szCs w:val="24"/>
        </w:rPr>
        <w:t>,</w:t>
      </w:r>
      <w:r w:rsidRPr="00BA13EC">
        <w:rPr>
          <w:rFonts w:ascii="Times New Roman" w:hAnsi="Times New Roman" w:cs="Times New Roman"/>
          <w:sz w:val="24"/>
          <w:szCs w:val="24"/>
        </w:rPr>
        <w:t xml:space="preserve"> 2015, p. 6).</w:t>
      </w:r>
    </w:p>
    <w:p w:rsidR="009B2720" w:rsidRPr="00BA13EC" w:rsidRDefault="00A114D6" w:rsidP="000B2D7A">
      <w:pPr>
        <w:jc w:val="both"/>
        <w:rPr>
          <w:rFonts w:ascii="Times New Roman" w:hAnsi="Times New Roman" w:cs="Times New Roman"/>
          <w:sz w:val="24"/>
          <w:szCs w:val="24"/>
        </w:rPr>
      </w:pPr>
      <w:r w:rsidRPr="00BA13EC">
        <w:rPr>
          <w:rFonts w:ascii="Times New Roman" w:hAnsi="Times New Roman" w:cs="Times New Roman"/>
          <w:sz w:val="24"/>
          <w:szCs w:val="24"/>
        </w:rPr>
        <w:t>However, a key issue to note in making suc</w:t>
      </w:r>
      <w:r w:rsidR="005A7715" w:rsidRPr="00BA13EC">
        <w:rPr>
          <w:rFonts w:ascii="Times New Roman" w:hAnsi="Times New Roman" w:cs="Times New Roman"/>
          <w:sz w:val="24"/>
          <w:szCs w:val="24"/>
        </w:rPr>
        <w:t>h comparisons is the significant</w:t>
      </w:r>
      <w:r w:rsidRPr="00BA13EC">
        <w:rPr>
          <w:rFonts w:ascii="Times New Roman" w:hAnsi="Times New Roman" w:cs="Times New Roman"/>
          <w:sz w:val="24"/>
          <w:szCs w:val="24"/>
        </w:rPr>
        <w:t xml:space="preserve"> disincentive </w:t>
      </w:r>
      <w:r w:rsidR="005A7715" w:rsidRPr="00BA13EC">
        <w:rPr>
          <w:rFonts w:ascii="Times New Roman" w:hAnsi="Times New Roman" w:cs="Times New Roman"/>
          <w:sz w:val="24"/>
          <w:szCs w:val="24"/>
        </w:rPr>
        <w:t xml:space="preserve">that </w:t>
      </w:r>
      <w:r w:rsidRPr="00BA13EC">
        <w:rPr>
          <w:rFonts w:ascii="Times New Roman" w:hAnsi="Times New Roman" w:cs="Times New Roman"/>
          <w:sz w:val="24"/>
          <w:szCs w:val="24"/>
        </w:rPr>
        <w:t>prospective students face when considering a TAFE</w:t>
      </w:r>
      <w:r w:rsidR="00BD5C98">
        <w:rPr>
          <w:rFonts w:ascii="Times New Roman" w:hAnsi="Times New Roman" w:cs="Times New Roman"/>
          <w:sz w:val="24"/>
          <w:szCs w:val="24"/>
        </w:rPr>
        <w:t xml:space="preserve"> degree. In almost every case, C</w:t>
      </w:r>
      <w:r w:rsidRPr="00BA13EC">
        <w:rPr>
          <w:rFonts w:ascii="Times New Roman" w:hAnsi="Times New Roman" w:cs="Times New Roman"/>
          <w:sz w:val="24"/>
          <w:szCs w:val="24"/>
        </w:rPr>
        <w:t>ommonwealth subsidies in the form of Commonwealth Supported Places (CSPs) cannot be accessed students electing to st</w:t>
      </w:r>
      <w:r w:rsidR="005A7715" w:rsidRPr="00BA13EC">
        <w:rPr>
          <w:rFonts w:ascii="Times New Roman" w:hAnsi="Times New Roman" w:cs="Times New Roman"/>
          <w:sz w:val="24"/>
          <w:szCs w:val="24"/>
        </w:rPr>
        <w:t>udy in one of these degrees. The outcome</w:t>
      </w:r>
      <w:r w:rsidRPr="00BA13EC">
        <w:rPr>
          <w:rFonts w:ascii="Times New Roman" w:hAnsi="Times New Roman" w:cs="Times New Roman"/>
          <w:sz w:val="24"/>
          <w:szCs w:val="24"/>
        </w:rPr>
        <w:t xml:space="preserve"> is that TAFE degrees are more expensive than their university counterparts. For example, in 2013 a Bachelor of Music degree at Monash University over three years incurs student fees of $18,000, while a Bachelor of Music degree at Northern Melbourne Institute of TAFE over </w:t>
      </w:r>
      <w:r w:rsidRPr="00BA13EC">
        <w:rPr>
          <w:rFonts w:ascii="Times New Roman" w:hAnsi="Times New Roman" w:cs="Times New Roman"/>
          <w:sz w:val="24"/>
          <w:szCs w:val="24"/>
        </w:rPr>
        <w:lastRenderedPageBreak/>
        <w:t>three years attracts student fees of $36,000 (Gale et al. 2013). The contrast is height</w:t>
      </w:r>
      <w:r w:rsidR="005A7715" w:rsidRPr="00BA13EC">
        <w:rPr>
          <w:rFonts w:ascii="Times New Roman" w:hAnsi="Times New Roman" w:cs="Times New Roman"/>
          <w:sz w:val="24"/>
          <w:szCs w:val="24"/>
        </w:rPr>
        <w:t>en</w:t>
      </w:r>
      <w:r w:rsidRPr="00BA13EC">
        <w:rPr>
          <w:rFonts w:ascii="Times New Roman" w:hAnsi="Times New Roman" w:cs="Times New Roman"/>
          <w:sz w:val="24"/>
          <w:szCs w:val="24"/>
        </w:rPr>
        <w:t xml:space="preserve">ed when </w:t>
      </w:r>
      <w:r w:rsidR="005A7715" w:rsidRPr="00BA13EC">
        <w:rPr>
          <w:rFonts w:ascii="Times New Roman" w:hAnsi="Times New Roman" w:cs="Times New Roman"/>
          <w:sz w:val="24"/>
          <w:szCs w:val="24"/>
        </w:rPr>
        <w:t>loan schemes available to</w:t>
      </w:r>
      <w:r w:rsidR="00A97EB3" w:rsidRPr="00BA13EC">
        <w:rPr>
          <w:rFonts w:ascii="Times New Roman" w:hAnsi="Times New Roman" w:cs="Times New Roman"/>
          <w:sz w:val="24"/>
          <w:szCs w:val="24"/>
        </w:rPr>
        <w:t xml:space="preserve"> students</w:t>
      </w:r>
      <w:r w:rsidRPr="00BA13EC">
        <w:rPr>
          <w:rFonts w:ascii="Times New Roman" w:hAnsi="Times New Roman" w:cs="Times New Roman"/>
          <w:sz w:val="24"/>
          <w:szCs w:val="24"/>
        </w:rPr>
        <w:t xml:space="preserve"> are taken into account. Students choosing a university degree and accessing a CSP will repay their already subsidised fees </w:t>
      </w:r>
      <w:r w:rsidR="00A954E0" w:rsidRPr="00BA13EC">
        <w:rPr>
          <w:rFonts w:ascii="Times New Roman" w:hAnsi="Times New Roman" w:cs="Times New Roman"/>
          <w:sz w:val="24"/>
          <w:szCs w:val="24"/>
        </w:rPr>
        <w:t>through an income-contingent loan arrangement that attracts no interest. Students choosing to study a degree at TAFE will not get access to a similar scheme. Understandably, TAFEs and students are actively lobbying the government to extend the relatively generous sche</w:t>
      </w:r>
      <w:r w:rsidR="00610E95" w:rsidRPr="00BA13EC">
        <w:rPr>
          <w:rFonts w:ascii="Times New Roman" w:hAnsi="Times New Roman" w:cs="Times New Roman"/>
          <w:sz w:val="24"/>
          <w:szCs w:val="24"/>
        </w:rPr>
        <w:t>me to TAFE degrees. It is possible</w:t>
      </w:r>
      <w:r w:rsidR="00A954E0" w:rsidRPr="00BA13EC">
        <w:rPr>
          <w:rFonts w:ascii="Times New Roman" w:hAnsi="Times New Roman" w:cs="Times New Roman"/>
          <w:sz w:val="24"/>
          <w:szCs w:val="24"/>
        </w:rPr>
        <w:t xml:space="preserve">, then, if CSPs become available to TAFEs and their students that there will be </w:t>
      </w:r>
      <w:r w:rsidR="003F37BB" w:rsidRPr="00BA13EC">
        <w:rPr>
          <w:rFonts w:ascii="Times New Roman" w:hAnsi="Times New Roman" w:cs="Times New Roman"/>
          <w:sz w:val="24"/>
          <w:szCs w:val="24"/>
        </w:rPr>
        <w:t xml:space="preserve">further </w:t>
      </w:r>
      <w:r w:rsidR="00A954E0" w:rsidRPr="00BA13EC">
        <w:rPr>
          <w:rFonts w:ascii="Times New Roman" w:hAnsi="Times New Roman" w:cs="Times New Roman"/>
          <w:sz w:val="24"/>
          <w:szCs w:val="24"/>
        </w:rPr>
        <w:t>growth in the number of students choosing TAFE degrees. But even the numbers that are already enrolling into TAFE degrees, despite the current disincentives, suggest that these degrees are attractive to some students.</w:t>
      </w:r>
      <w:r w:rsidR="00274DC8" w:rsidRPr="00BA13EC">
        <w:rPr>
          <w:rFonts w:ascii="Times New Roman" w:hAnsi="Times New Roman" w:cs="Times New Roman"/>
          <w:sz w:val="24"/>
          <w:szCs w:val="24"/>
        </w:rPr>
        <w:t xml:space="preserve"> </w:t>
      </w:r>
    </w:p>
    <w:p w:rsidR="00A954E0" w:rsidRPr="00BA13EC" w:rsidRDefault="00A954E0"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Part of the argument of this paper is that existing </w:t>
      </w:r>
      <w:r w:rsidR="00274DC8" w:rsidRPr="00BA13EC">
        <w:rPr>
          <w:rFonts w:ascii="Times New Roman" w:hAnsi="Times New Roman" w:cs="Times New Roman"/>
          <w:sz w:val="24"/>
          <w:szCs w:val="24"/>
        </w:rPr>
        <w:t xml:space="preserve">student </w:t>
      </w:r>
      <w:r w:rsidRPr="00BA13EC">
        <w:rPr>
          <w:rFonts w:ascii="Times New Roman" w:hAnsi="Times New Roman" w:cs="Times New Roman"/>
          <w:sz w:val="24"/>
          <w:szCs w:val="24"/>
        </w:rPr>
        <w:t xml:space="preserve">demand for TAFE degrees (especially in the face of </w:t>
      </w:r>
      <w:r w:rsidR="003F37BB" w:rsidRPr="00BA13EC">
        <w:rPr>
          <w:rFonts w:ascii="Times New Roman" w:hAnsi="Times New Roman" w:cs="Times New Roman"/>
          <w:sz w:val="24"/>
          <w:szCs w:val="24"/>
        </w:rPr>
        <w:t xml:space="preserve">a </w:t>
      </w:r>
      <w:r w:rsidRPr="00BA13EC">
        <w:rPr>
          <w:rFonts w:ascii="Times New Roman" w:hAnsi="Times New Roman" w:cs="Times New Roman"/>
          <w:sz w:val="24"/>
          <w:szCs w:val="24"/>
        </w:rPr>
        <w:t xml:space="preserve">powerful financial disincentive) </w:t>
      </w:r>
      <w:r w:rsidR="00F91E9D" w:rsidRPr="00BA13EC">
        <w:rPr>
          <w:rFonts w:ascii="Times New Roman" w:hAnsi="Times New Roman" w:cs="Times New Roman"/>
          <w:sz w:val="24"/>
          <w:szCs w:val="24"/>
        </w:rPr>
        <w:t xml:space="preserve">hints at a </w:t>
      </w:r>
      <w:r w:rsidR="00610E95" w:rsidRPr="00BA13EC">
        <w:rPr>
          <w:rFonts w:ascii="Times New Roman" w:hAnsi="Times New Roman" w:cs="Times New Roman"/>
          <w:sz w:val="24"/>
          <w:szCs w:val="24"/>
        </w:rPr>
        <w:t xml:space="preserve">possible </w:t>
      </w:r>
      <w:r w:rsidR="00F91E9D" w:rsidRPr="00BA13EC">
        <w:rPr>
          <w:rFonts w:ascii="Times New Roman" w:hAnsi="Times New Roman" w:cs="Times New Roman"/>
          <w:sz w:val="24"/>
          <w:szCs w:val="24"/>
        </w:rPr>
        <w:t>transformation in the meaning of higher education. In the next section we present a theoretica</w:t>
      </w:r>
      <w:r w:rsidR="00610E95" w:rsidRPr="00BA13EC">
        <w:rPr>
          <w:rFonts w:ascii="Times New Roman" w:hAnsi="Times New Roman" w:cs="Times New Roman"/>
          <w:sz w:val="24"/>
          <w:szCs w:val="24"/>
        </w:rPr>
        <w:t>l framework that helps us to analyse the proposition that</w:t>
      </w:r>
      <w:r w:rsidR="00F91E9D" w:rsidRPr="00BA13EC">
        <w:rPr>
          <w:rFonts w:ascii="Times New Roman" w:hAnsi="Times New Roman" w:cs="Times New Roman"/>
          <w:sz w:val="24"/>
          <w:szCs w:val="24"/>
        </w:rPr>
        <w:t xml:space="preserve"> what is </w:t>
      </w:r>
      <w:r w:rsidR="00C759D6" w:rsidRPr="00BA13EC">
        <w:rPr>
          <w:rFonts w:ascii="Times New Roman" w:hAnsi="Times New Roman" w:cs="Times New Roman"/>
          <w:sz w:val="24"/>
          <w:szCs w:val="24"/>
        </w:rPr>
        <w:t xml:space="preserve">regarded as </w:t>
      </w:r>
      <w:r w:rsidR="00F91E9D" w:rsidRPr="00BA13EC">
        <w:rPr>
          <w:rFonts w:ascii="Times New Roman" w:hAnsi="Times New Roman" w:cs="Times New Roman"/>
          <w:sz w:val="24"/>
          <w:szCs w:val="24"/>
        </w:rPr>
        <w:t>valuable about higher education may be changing.</w:t>
      </w:r>
    </w:p>
    <w:p w:rsidR="00F91E9D" w:rsidRPr="00BA13EC" w:rsidRDefault="00202A60" w:rsidP="000B2D7A">
      <w:pPr>
        <w:jc w:val="both"/>
        <w:rPr>
          <w:rFonts w:ascii="Times New Roman" w:hAnsi="Times New Roman" w:cs="Times New Roman"/>
          <w:b/>
          <w:sz w:val="24"/>
          <w:szCs w:val="24"/>
        </w:rPr>
      </w:pPr>
      <w:r w:rsidRPr="00BA13EC">
        <w:rPr>
          <w:rFonts w:ascii="Times New Roman" w:hAnsi="Times New Roman" w:cs="Times New Roman"/>
          <w:b/>
          <w:sz w:val="24"/>
          <w:szCs w:val="24"/>
        </w:rPr>
        <w:t xml:space="preserve">Drawing on Bourdieu: VET, </w:t>
      </w:r>
      <w:r w:rsidR="00C140FB" w:rsidRPr="00BA13EC">
        <w:rPr>
          <w:rFonts w:ascii="Times New Roman" w:hAnsi="Times New Roman" w:cs="Times New Roman"/>
          <w:b/>
          <w:sz w:val="24"/>
          <w:szCs w:val="24"/>
        </w:rPr>
        <w:t>higher education</w:t>
      </w:r>
      <w:r w:rsidRPr="00BA13EC">
        <w:rPr>
          <w:rFonts w:ascii="Times New Roman" w:hAnsi="Times New Roman" w:cs="Times New Roman"/>
          <w:b/>
          <w:sz w:val="24"/>
          <w:szCs w:val="24"/>
        </w:rPr>
        <w:t xml:space="preserve"> and </w:t>
      </w:r>
      <w:r w:rsidR="00CF6773" w:rsidRPr="00BA13EC">
        <w:rPr>
          <w:rFonts w:ascii="Times New Roman" w:hAnsi="Times New Roman" w:cs="Times New Roman"/>
          <w:b/>
          <w:sz w:val="24"/>
          <w:szCs w:val="24"/>
        </w:rPr>
        <w:t xml:space="preserve">Distinction </w:t>
      </w:r>
    </w:p>
    <w:p w:rsidR="002A045B" w:rsidRPr="00BA13EC" w:rsidRDefault="00A61EF5"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The emergence of </w:t>
      </w:r>
      <w:r w:rsidR="001E3C23" w:rsidRPr="00BA13EC">
        <w:rPr>
          <w:rFonts w:ascii="Times New Roman" w:hAnsi="Times New Roman" w:cs="Times New Roman"/>
          <w:sz w:val="24"/>
          <w:szCs w:val="24"/>
        </w:rPr>
        <w:t>TAFE degrees raise</w:t>
      </w:r>
      <w:r w:rsidR="00715417" w:rsidRPr="00BA13EC">
        <w:rPr>
          <w:rFonts w:ascii="Times New Roman" w:hAnsi="Times New Roman" w:cs="Times New Roman"/>
          <w:sz w:val="24"/>
          <w:szCs w:val="24"/>
        </w:rPr>
        <w:t>s the question</w:t>
      </w:r>
      <w:r w:rsidRPr="00BA13EC">
        <w:rPr>
          <w:rFonts w:ascii="Times New Roman" w:hAnsi="Times New Roman" w:cs="Times New Roman"/>
          <w:sz w:val="24"/>
          <w:szCs w:val="24"/>
        </w:rPr>
        <w:t xml:space="preserve"> of </w:t>
      </w:r>
      <w:r w:rsidR="00B57173" w:rsidRPr="00BA13EC">
        <w:rPr>
          <w:rFonts w:ascii="Times New Roman" w:hAnsi="Times New Roman" w:cs="Times New Roman"/>
          <w:sz w:val="24"/>
          <w:szCs w:val="24"/>
        </w:rPr>
        <w:t xml:space="preserve">how to understand their potential and </w:t>
      </w:r>
      <w:r w:rsidRPr="00BA13EC">
        <w:rPr>
          <w:rFonts w:ascii="Times New Roman" w:hAnsi="Times New Roman" w:cs="Times New Roman"/>
          <w:sz w:val="24"/>
          <w:szCs w:val="24"/>
        </w:rPr>
        <w:t xml:space="preserve">potential </w:t>
      </w:r>
      <w:r w:rsidR="00B57173" w:rsidRPr="00BA13EC">
        <w:rPr>
          <w:rFonts w:ascii="Times New Roman" w:hAnsi="Times New Roman" w:cs="Times New Roman"/>
          <w:sz w:val="24"/>
          <w:szCs w:val="24"/>
        </w:rPr>
        <w:t xml:space="preserve">impact on higher education. Here we use </w:t>
      </w:r>
      <w:r w:rsidR="00E668C5" w:rsidRPr="00BA13EC">
        <w:rPr>
          <w:rFonts w:ascii="Times New Roman" w:hAnsi="Times New Roman" w:cs="Times New Roman"/>
          <w:sz w:val="24"/>
          <w:szCs w:val="24"/>
        </w:rPr>
        <w:t>‘</w:t>
      </w:r>
      <w:r w:rsidR="00B57173" w:rsidRPr="00BA13EC">
        <w:rPr>
          <w:rFonts w:ascii="Times New Roman" w:hAnsi="Times New Roman" w:cs="Times New Roman"/>
          <w:sz w:val="24"/>
          <w:szCs w:val="24"/>
        </w:rPr>
        <w:t>distinction</w:t>
      </w:r>
      <w:r w:rsidR="00E668C5" w:rsidRPr="00BA13EC">
        <w:rPr>
          <w:rFonts w:ascii="Times New Roman" w:hAnsi="Times New Roman" w:cs="Times New Roman"/>
          <w:sz w:val="24"/>
          <w:szCs w:val="24"/>
        </w:rPr>
        <w:t>’</w:t>
      </w:r>
      <w:r w:rsidR="00B57173" w:rsidRPr="00BA13EC">
        <w:rPr>
          <w:rFonts w:ascii="Times New Roman" w:hAnsi="Times New Roman" w:cs="Times New Roman"/>
          <w:sz w:val="24"/>
          <w:szCs w:val="24"/>
        </w:rPr>
        <w:t xml:space="preserve"> to explore these changes, and </w:t>
      </w:r>
      <w:r w:rsidR="00E668C5" w:rsidRPr="00BA13EC">
        <w:rPr>
          <w:rFonts w:ascii="Times New Roman" w:hAnsi="Times New Roman" w:cs="Times New Roman"/>
          <w:sz w:val="24"/>
          <w:szCs w:val="24"/>
        </w:rPr>
        <w:t xml:space="preserve">the </w:t>
      </w:r>
      <w:r w:rsidR="006632EE" w:rsidRPr="00BA13EC">
        <w:rPr>
          <w:rFonts w:ascii="Times New Roman" w:hAnsi="Times New Roman" w:cs="Times New Roman"/>
          <w:sz w:val="24"/>
          <w:szCs w:val="24"/>
        </w:rPr>
        <w:t xml:space="preserve">application </w:t>
      </w:r>
      <w:r w:rsidR="00E668C5" w:rsidRPr="00BA13EC">
        <w:rPr>
          <w:rFonts w:ascii="Times New Roman" w:hAnsi="Times New Roman" w:cs="Times New Roman"/>
          <w:sz w:val="24"/>
          <w:szCs w:val="24"/>
        </w:rPr>
        <w:t xml:space="preserve">that </w:t>
      </w:r>
      <w:r w:rsidR="00B57173" w:rsidRPr="00BA13EC">
        <w:rPr>
          <w:rFonts w:ascii="Times New Roman" w:hAnsi="Times New Roman" w:cs="Times New Roman"/>
          <w:sz w:val="24"/>
          <w:szCs w:val="24"/>
        </w:rPr>
        <w:t xml:space="preserve">Bourdieu </w:t>
      </w:r>
      <w:r w:rsidR="00715417" w:rsidRPr="00BA13EC">
        <w:rPr>
          <w:rFonts w:ascii="Times New Roman" w:hAnsi="Times New Roman" w:cs="Times New Roman"/>
          <w:sz w:val="24"/>
          <w:szCs w:val="24"/>
        </w:rPr>
        <w:t>(</w:t>
      </w:r>
      <w:r w:rsidR="00703694" w:rsidRPr="00BA13EC">
        <w:rPr>
          <w:rFonts w:ascii="Times New Roman" w:hAnsi="Times New Roman" w:cs="Times New Roman"/>
          <w:sz w:val="24"/>
          <w:szCs w:val="24"/>
        </w:rPr>
        <w:t>1979/</w:t>
      </w:r>
      <w:r w:rsidR="00715417" w:rsidRPr="00BA13EC">
        <w:rPr>
          <w:rFonts w:ascii="Times New Roman" w:hAnsi="Times New Roman" w:cs="Times New Roman"/>
          <w:sz w:val="24"/>
          <w:szCs w:val="24"/>
        </w:rPr>
        <w:t xml:space="preserve">1984) </w:t>
      </w:r>
      <w:r w:rsidR="00E668C5" w:rsidRPr="00BA13EC">
        <w:rPr>
          <w:rFonts w:ascii="Times New Roman" w:hAnsi="Times New Roman" w:cs="Times New Roman"/>
          <w:sz w:val="24"/>
          <w:szCs w:val="24"/>
        </w:rPr>
        <w:t>made</w:t>
      </w:r>
      <w:r w:rsidR="00B57173" w:rsidRPr="00BA13EC">
        <w:rPr>
          <w:rFonts w:ascii="Times New Roman" w:hAnsi="Times New Roman" w:cs="Times New Roman"/>
          <w:sz w:val="24"/>
          <w:szCs w:val="24"/>
        </w:rPr>
        <w:t xml:space="preserve"> of this concept.</w:t>
      </w:r>
      <w:r w:rsidR="00E668C5" w:rsidRPr="00BA13EC">
        <w:rPr>
          <w:rFonts w:ascii="Times New Roman" w:hAnsi="Times New Roman" w:cs="Times New Roman"/>
          <w:sz w:val="24"/>
          <w:szCs w:val="24"/>
        </w:rPr>
        <w:t xml:space="preserve"> In common language</w:t>
      </w:r>
      <w:r w:rsidR="00715417" w:rsidRPr="00BA13EC">
        <w:rPr>
          <w:rFonts w:ascii="Times New Roman" w:hAnsi="Times New Roman" w:cs="Times New Roman"/>
          <w:sz w:val="24"/>
          <w:szCs w:val="24"/>
        </w:rPr>
        <w:t>,</w:t>
      </w:r>
      <w:r w:rsidR="00E668C5" w:rsidRPr="00BA13EC">
        <w:rPr>
          <w:rFonts w:ascii="Times New Roman" w:hAnsi="Times New Roman" w:cs="Times New Roman"/>
          <w:sz w:val="24"/>
          <w:szCs w:val="24"/>
        </w:rPr>
        <w:t xml:space="preserve"> </w:t>
      </w:r>
      <w:r w:rsidR="00715417" w:rsidRPr="00BA13EC">
        <w:rPr>
          <w:rFonts w:ascii="Times New Roman" w:hAnsi="Times New Roman" w:cs="Times New Roman"/>
          <w:sz w:val="24"/>
          <w:szCs w:val="24"/>
        </w:rPr>
        <w:t>‘</w:t>
      </w:r>
      <w:r w:rsidR="00E668C5" w:rsidRPr="00BA13EC">
        <w:rPr>
          <w:rFonts w:ascii="Times New Roman" w:hAnsi="Times New Roman" w:cs="Times New Roman"/>
          <w:sz w:val="24"/>
          <w:szCs w:val="24"/>
        </w:rPr>
        <w:t>distinction</w:t>
      </w:r>
      <w:r w:rsidR="00715417" w:rsidRPr="00BA13EC">
        <w:rPr>
          <w:rFonts w:ascii="Times New Roman" w:hAnsi="Times New Roman" w:cs="Times New Roman"/>
          <w:sz w:val="24"/>
          <w:szCs w:val="24"/>
        </w:rPr>
        <w:t>’</w:t>
      </w:r>
      <w:r w:rsidR="00E668C5" w:rsidRPr="00BA13EC">
        <w:rPr>
          <w:rFonts w:ascii="Times New Roman" w:hAnsi="Times New Roman" w:cs="Times New Roman"/>
          <w:sz w:val="24"/>
          <w:szCs w:val="24"/>
        </w:rPr>
        <w:t xml:space="preserve"> points to things that might be compared to one another, distinguished from one another, and the qualities that can be used to discern difference</w:t>
      </w:r>
      <w:r w:rsidR="00945766" w:rsidRPr="00BA13EC">
        <w:rPr>
          <w:rFonts w:ascii="Times New Roman" w:hAnsi="Times New Roman" w:cs="Times New Roman"/>
          <w:sz w:val="24"/>
          <w:szCs w:val="24"/>
        </w:rPr>
        <w:t xml:space="preserve"> (Macquarrie </w:t>
      </w:r>
      <w:r w:rsidR="000B2D7A" w:rsidRPr="00BA13EC">
        <w:rPr>
          <w:rFonts w:ascii="Times New Roman" w:hAnsi="Times New Roman" w:cs="Times New Roman"/>
          <w:sz w:val="24"/>
          <w:szCs w:val="24"/>
        </w:rPr>
        <w:t>Dictionary</w:t>
      </w:r>
      <w:r w:rsidR="00945766" w:rsidRPr="00BA13EC">
        <w:rPr>
          <w:rFonts w:ascii="Times New Roman" w:hAnsi="Times New Roman" w:cs="Times New Roman"/>
          <w:sz w:val="24"/>
          <w:szCs w:val="24"/>
        </w:rPr>
        <w:t>, 2016)</w:t>
      </w:r>
      <w:r w:rsidR="00E668C5" w:rsidRPr="00BA13EC">
        <w:rPr>
          <w:rFonts w:ascii="Times New Roman" w:hAnsi="Times New Roman" w:cs="Times New Roman"/>
          <w:sz w:val="24"/>
          <w:szCs w:val="24"/>
        </w:rPr>
        <w:t xml:space="preserve">. A distinction might be made, for example, between kinds of teacher education degrees, </w:t>
      </w:r>
      <w:r w:rsidR="002A045B" w:rsidRPr="00BA13EC">
        <w:rPr>
          <w:rFonts w:ascii="Times New Roman" w:hAnsi="Times New Roman" w:cs="Times New Roman"/>
          <w:sz w:val="24"/>
          <w:szCs w:val="24"/>
        </w:rPr>
        <w:t xml:space="preserve">between </w:t>
      </w:r>
      <w:r w:rsidR="00715417" w:rsidRPr="00BA13EC">
        <w:rPr>
          <w:rFonts w:ascii="Times New Roman" w:hAnsi="Times New Roman" w:cs="Times New Roman"/>
          <w:sz w:val="24"/>
          <w:szCs w:val="24"/>
        </w:rPr>
        <w:t xml:space="preserve">VET or </w:t>
      </w:r>
      <w:r w:rsidR="006632EE" w:rsidRPr="00BA13EC">
        <w:rPr>
          <w:rFonts w:ascii="Times New Roman" w:hAnsi="Times New Roman" w:cs="Times New Roman"/>
          <w:sz w:val="24"/>
          <w:szCs w:val="24"/>
        </w:rPr>
        <w:t xml:space="preserve">higher education </w:t>
      </w:r>
      <w:r w:rsidR="002A045B" w:rsidRPr="00BA13EC">
        <w:rPr>
          <w:rFonts w:ascii="Times New Roman" w:hAnsi="Times New Roman" w:cs="Times New Roman"/>
          <w:sz w:val="24"/>
          <w:szCs w:val="24"/>
        </w:rPr>
        <w:t>institutions</w:t>
      </w:r>
      <w:r w:rsidR="00715417" w:rsidRPr="00BA13EC">
        <w:rPr>
          <w:rFonts w:ascii="Times New Roman" w:hAnsi="Times New Roman" w:cs="Times New Roman"/>
          <w:sz w:val="24"/>
          <w:szCs w:val="24"/>
        </w:rPr>
        <w:t>,</w:t>
      </w:r>
      <w:r w:rsidR="002A045B" w:rsidRPr="00BA13EC">
        <w:rPr>
          <w:rFonts w:ascii="Times New Roman" w:hAnsi="Times New Roman" w:cs="Times New Roman"/>
          <w:sz w:val="24"/>
          <w:szCs w:val="24"/>
        </w:rPr>
        <w:t xml:space="preserve"> </w:t>
      </w:r>
      <w:r w:rsidR="00E668C5" w:rsidRPr="00BA13EC">
        <w:rPr>
          <w:rFonts w:ascii="Times New Roman" w:hAnsi="Times New Roman" w:cs="Times New Roman"/>
          <w:sz w:val="24"/>
          <w:szCs w:val="24"/>
        </w:rPr>
        <w:t xml:space="preserve">or </w:t>
      </w:r>
      <w:r w:rsidR="00D22C1E" w:rsidRPr="00BA13EC">
        <w:rPr>
          <w:rFonts w:ascii="Times New Roman" w:hAnsi="Times New Roman" w:cs="Times New Roman"/>
          <w:sz w:val="24"/>
          <w:szCs w:val="24"/>
        </w:rPr>
        <w:t xml:space="preserve">between the graduates of </w:t>
      </w:r>
      <w:r w:rsidR="00715417" w:rsidRPr="00BA13EC">
        <w:rPr>
          <w:rFonts w:ascii="Times New Roman" w:hAnsi="Times New Roman" w:cs="Times New Roman"/>
          <w:sz w:val="24"/>
          <w:szCs w:val="24"/>
        </w:rPr>
        <w:t xml:space="preserve">certificates, diplomas or </w:t>
      </w:r>
      <w:r w:rsidR="00C759D6" w:rsidRPr="00BA13EC">
        <w:rPr>
          <w:rFonts w:ascii="Times New Roman" w:hAnsi="Times New Roman" w:cs="Times New Roman"/>
          <w:sz w:val="24"/>
          <w:szCs w:val="24"/>
        </w:rPr>
        <w:t>degree courses</w:t>
      </w:r>
      <w:r w:rsidR="00D22C1E" w:rsidRPr="00BA13EC">
        <w:rPr>
          <w:rFonts w:ascii="Times New Roman" w:hAnsi="Times New Roman" w:cs="Times New Roman"/>
          <w:sz w:val="24"/>
          <w:szCs w:val="24"/>
        </w:rPr>
        <w:t>.</w:t>
      </w:r>
      <w:r w:rsidR="00E668C5" w:rsidRPr="00BA13EC">
        <w:rPr>
          <w:rFonts w:ascii="Times New Roman" w:hAnsi="Times New Roman" w:cs="Times New Roman"/>
          <w:sz w:val="24"/>
          <w:szCs w:val="24"/>
        </w:rPr>
        <w:t xml:space="preserve"> </w:t>
      </w:r>
      <w:r w:rsidR="00715417" w:rsidRPr="00BA13EC">
        <w:rPr>
          <w:rFonts w:ascii="Times New Roman" w:hAnsi="Times New Roman" w:cs="Times New Roman"/>
          <w:sz w:val="24"/>
          <w:szCs w:val="24"/>
        </w:rPr>
        <w:t>‘</w:t>
      </w:r>
      <w:r w:rsidR="00D22C1E" w:rsidRPr="00BA13EC">
        <w:rPr>
          <w:rFonts w:ascii="Times New Roman" w:hAnsi="Times New Roman" w:cs="Times New Roman"/>
          <w:sz w:val="24"/>
          <w:szCs w:val="24"/>
        </w:rPr>
        <w:t>Distinction</w:t>
      </w:r>
      <w:r w:rsidR="00715417" w:rsidRPr="00BA13EC">
        <w:rPr>
          <w:rFonts w:ascii="Times New Roman" w:hAnsi="Times New Roman" w:cs="Times New Roman"/>
          <w:sz w:val="24"/>
          <w:szCs w:val="24"/>
        </w:rPr>
        <w:t>’</w:t>
      </w:r>
      <w:r w:rsidR="00D22C1E" w:rsidRPr="00BA13EC">
        <w:rPr>
          <w:rFonts w:ascii="Times New Roman" w:hAnsi="Times New Roman" w:cs="Times New Roman"/>
          <w:sz w:val="24"/>
          <w:szCs w:val="24"/>
        </w:rPr>
        <w:t xml:space="preserve"> also carries with it more than just difference, </w:t>
      </w:r>
      <w:r w:rsidR="00E668C5" w:rsidRPr="00BA13EC">
        <w:rPr>
          <w:rFonts w:ascii="Times New Roman" w:hAnsi="Times New Roman" w:cs="Times New Roman"/>
          <w:sz w:val="24"/>
          <w:szCs w:val="24"/>
        </w:rPr>
        <w:t xml:space="preserve">but also an evaluation of worth, an ordering of quality made </w:t>
      </w:r>
      <w:r w:rsidR="006632EE" w:rsidRPr="00BA13EC">
        <w:rPr>
          <w:rFonts w:ascii="Times New Roman" w:hAnsi="Times New Roman" w:cs="Times New Roman"/>
          <w:sz w:val="24"/>
          <w:szCs w:val="24"/>
        </w:rPr>
        <w:t xml:space="preserve">for itself or in preparation for other decisions or actions, such as </w:t>
      </w:r>
      <w:r w:rsidR="00D22C1E" w:rsidRPr="00BA13EC">
        <w:rPr>
          <w:rFonts w:ascii="Times New Roman" w:hAnsi="Times New Roman" w:cs="Times New Roman"/>
          <w:sz w:val="24"/>
          <w:szCs w:val="24"/>
        </w:rPr>
        <w:t xml:space="preserve">selections </w:t>
      </w:r>
      <w:r w:rsidR="002A045B" w:rsidRPr="00BA13EC">
        <w:rPr>
          <w:rFonts w:ascii="Times New Roman" w:hAnsi="Times New Roman" w:cs="Times New Roman"/>
          <w:sz w:val="24"/>
          <w:szCs w:val="24"/>
        </w:rPr>
        <w:t xml:space="preserve">between </w:t>
      </w:r>
      <w:r w:rsidR="00D22C1E" w:rsidRPr="00BA13EC">
        <w:rPr>
          <w:rFonts w:ascii="Times New Roman" w:hAnsi="Times New Roman" w:cs="Times New Roman"/>
          <w:sz w:val="24"/>
          <w:szCs w:val="24"/>
        </w:rPr>
        <w:t>choices</w:t>
      </w:r>
      <w:r w:rsidR="00281E38" w:rsidRPr="00BA13EC">
        <w:rPr>
          <w:rFonts w:ascii="Times New Roman" w:hAnsi="Times New Roman" w:cs="Times New Roman"/>
          <w:sz w:val="24"/>
          <w:szCs w:val="24"/>
        </w:rPr>
        <w:t xml:space="preserve"> of degrees to choose, or policy options to take</w:t>
      </w:r>
      <w:r w:rsidR="00715417" w:rsidRPr="00BA13EC">
        <w:rPr>
          <w:rFonts w:ascii="Times New Roman" w:hAnsi="Times New Roman" w:cs="Times New Roman"/>
          <w:sz w:val="24"/>
          <w:szCs w:val="24"/>
        </w:rPr>
        <w:t xml:space="preserve"> with regard to improving access to higher education</w:t>
      </w:r>
      <w:r w:rsidR="00C759D6" w:rsidRPr="00BA13EC">
        <w:rPr>
          <w:rFonts w:ascii="Times New Roman" w:hAnsi="Times New Roman" w:cs="Times New Roman"/>
          <w:sz w:val="24"/>
          <w:szCs w:val="24"/>
        </w:rPr>
        <w:t xml:space="preserve"> (</w:t>
      </w:r>
      <w:r w:rsidR="00945766" w:rsidRPr="00BA13EC">
        <w:rPr>
          <w:rFonts w:ascii="Times New Roman" w:hAnsi="Times New Roman" w:cs="Times New Roman"/>
          <w:sz w:val="24"/>
          <w:szCs w:val="24"/>
        </w:rPr>
        <w:t xml:space="preserve">Macquarrie </w:t>
      </w:r>
      <w:r w:rsidR="000B2D7A" w:rsidRPr="00BA13EC">
        <w:rPr>
          <w:rFonts w:ascii="Times New Roman" w:hAnsi="Times New Roman" w:cs="Times New Roman"/>
          <w:sz w:val="24"/>
          <w:szCs w:val="24"/>
        </w:rPr>
        <w:t>Dictionary</w:t>
      </w:r>
      <w:r w:rsidR="00945766" w:rsidRPr="00BA13EC">
        <w:rPr>
          <w:rFonts w:ascii="Times New Roman" w:hAnsi="Times New Roman" w:cs="Times New Roman"/>
          <w:sz w:val="24"/>
          <w:szCs w:val="24"/>
        </w:rPr>
        <w:t>, 2016</w:t>
      </w:r>
      <w:r w:rsidR="00C759D6" w:rsidRPr="00BA13EC">
        <w:rPr>
          <w:rFonts w:ascii="Times New Roman" w:hAnsi="Times New Roman" w:cs="Times New Roman"/>
          <w:sz w:val="24"/>
          <w:szCs w:val="24"/>
        </w:rPr>
        <w:t>)</w:t>
      </w:r>
      <w:r w:rsidR="00E668C5" w:rsidRPr="00BA13EC">
        <w:rPr>
          <w:rFonts w:ascii="Times New Roman" w:hAnsi="Times New Roman" w:cs="Times New Roman"/>
          <w:sz w:val="24"/>
          <w:szCs w:val="24"/>
        </w:rPr>
        <w:t xml:space="preserve">. </w:t>
      </w:r>
      <w:r w:rsidR="002A045B" w:rsidRPr="00BA13EC">
        <w:rPr>
          <w:rFonts w:ascii="Times New Roman" w:hAnsi="Times New Roman" w:cs="Times New Roman"/>
          <w:sz w:val="24"/>
          <w:szCs w:val="24"/>
        </w:rPr>
        <w:t>Distinction raises questions about what is to be compared, how it is to be found, who is going to evaluate (</w:t>
      </w:r>
      <w:r w:rsidR="00F06FF9" w:rsidRPr="00BA13EC">
        <w:rPr>
          <w:rFonts w:ascii="Times New Roman" w:hAnsi="Times New Roman" w:cs="Times New Roman"/>
          <w:sz w:val="24"/>
          <w:szCs w:val="24"/>
        </w:rPr>
        <w:t>e.g.</w:t>
      </w:r>
      <w:r w:rsidR="00715417" w:rsidRPr="00BA13EC">
        <w:rPr>
          <w:rFonts w:ascii="Times New Roman" w:hAnsi="Times New Roman" w:cs="Times New Roman"/>
          <w:sz w:val="24"/>
          <w:szCs w:val="24"/>
        </w:rPr>
        <w:t xml:space="preserve"> governments, </w:t>
      </w:r>
      <w:r w:rsidR="00405A72" w:rsidRPr="00BA13EC">
        <w:rPr>
          <w:rFonts w:ascii="Times New Roman" w:hAnsi="Times New Roman" w:cs="Times New Roman"/>
          <w:sz w:val="24"/>
          <w:szCs w:val="24"/>
        </w:rPr>
        <w:t>employers</w:t>
      </w:r>
      <w:r w:rsidR="00715417" w:rsidRPr="00BA13EC">
        <w:rPr>
          <w:rFonts w:ascii="Times New Roman" w:hAnsi="Times New Roman" w:cs="Times New Roman"/>
          <w:sz w:val="24"/>
          <w:szCs w:val="24"/>
        </w:rPr>
        <w:t>, families, prospective</w:t>
      </w:r>
      <w:r w:rsidR="002A045B" w:rsidRPr="00BA13EC">
        <w:rPr>
          <w:rFonts w:ascii="Times New Roman" w:hAnsi="Times New Roman" w:cs="Times New Roman"/>
          <w:sz w:val="24"/>
          <w:szCs w:val="24"/>
        </w:rPr>
        <w:t xml:space="preserve"> students) and for what purpose (to commit or allow access to funding, or to select between potential higher education options).</w:t>
      </w:r>
    </w:p>
    <w:p w:rsidR="00C202CD" w:rsidRPr="00BA13EC" w:rsidRDefault="002A045B" w:rsidP="000B2D7A">
      <w:pPr>
        <w:jc w:val="both"/>
        <w:rPr>
          <w:rFonts w:ascii="Times New Roman" w:hAnsi="Times New Roman" w:cs="Times New Roman"/>
          <w:sz w:val="24"/>
          <w:szCs w:val="24"/>
        </w:rPr>
      </w:pPr>
      <w:r w:rsidRPr="00BA13EC">
        <w:rPr>
          <w:rFonts w:ascii="Times New Roman" w:hAnsi="Times New Roman" w:cs="Times New Roman"/>
          <w:sz w:val="24"/>
          <w:szCs w:val="24"/>
        </w:rPr>
        <w:t>Bourdieu’s use of distinction is more restrictive in scope, and conte</w:t>
      </w:r>
      <w:r w:rsidR="00C202CD" w:rsidRPr="00BA13EC">
        <w:rPr>
          <w:rFonts w:ascii="Times New Roman" w:hAnsi="Times New Roman" w:cs="Times New Roman"/>
          <w:sz w:val="24"/>
          <w:szCs w:val="24"/>
        </w:rPr>
        <w:t>xtualises</w:t>
      </w:r>
      <w:r w:rsidRPr="00BA13EC">
        <w:rPr>
          <w:rFonts w:ascii="Times New Roman" w:hAnsi="Times New Roman" w:cs="Times New Roman"/>
          <w:sz w:val="24"/>
          <w:szCs w:val="24"/>
        </w:rPr>
        <w:t xml:space="preserve"> the judgments made</w:t>
      </w:r>
      <w:r w:rsidR="00421AC3" w:rsidRPr="00BA13EC">
        <w:rPr>
          <w:rFonts w:ascii="Times New Roman" w:hAnsi="Times New Roman" w:cs="Times New Roman"/>
          <w:sz w:val="24"/>
          <w:szCs w:val="24"/>
        </w:rPr>
        <w:t xml:space="preserve"> </w:t>
      </w:r>
      <w:r w:rsidR="00203FE0" w:rsidRPr="00BA13EC">
        <w:rPr>
          <w:rFonts w:ascii="Times New Roman" w:hAnsi="Times New Roman" w:cs="Times New Roman"/>
          <w:sz w:val="24"/>
          <w:szCs w:val="24"/>
        </w:rPr>
        <w:t xml:space="preserve">by people </w:t>
      </w:r>
      <w:r w:rsidR="00421AC3" w:rsidRPr="00BA13EC">
        <w:rPr>
          <w:rFonts w:ascii="Times New Roman" w:hAnsi="Times New Roman" w:cs="Times New Roman"/>
          <w:sz w:val="24"/>
          <w:szCs w:val="24"/>
        </w:rPr>
        <w:t xml:space="preserve">to specific cultural contexts, called </w:t>
      </w:r>
      <w:r w:rsidR="00421AC3" w:rsidRPr="00BA13EC">
        <w:rPr>
          <w:rFonts w:ascii="Times New Roman" w:hAnsi="Times New Roman" w:cs="Times New Roman"/>
          <w:i/>
          <w:sz w:val="24"/>
          <w:szCs w:val="24"/>
        </w:rPr>
        <w:t>cultural fields</w:t>
      </w:r>
      <w:r w:rsidRPr="00BA13EC">
        <w:rPr>
          <w:rFonts w:ascii="Times New Roman" w:hAnsi="Times New Roman" w:cs="Times New Roman"/>
          <w:sz w:val="24"/>
          <w:szCs w:val="24"/>
        </w:rPr>
        <w:t xml:space="preserve">. </w:t>
      </w:r>
      <w:r w:rsidR="005450BE" w:rsidRPr="00BA13EC">
        <w:rPr>
          <w:rFonts w:ascii="Times New Roman" w:hAnsi="Times New Roman" w:cs="Times New Roman"/>
          <w:sz w:val="24"/>
          <w:szCs w:val="24"/>
        </w:rPr>
        <w:t>Distinction emerged in Bourdieu’s sociological work on the cultural judgment of taste</w:t>
      </w:r>
      <w:r w:rsidR="00C202CD" w:rsidRPr="00BA13EC">
        <w:rPr>
          <w:rFonts w:ascii="Times New Roman" w:hAnsi="Times New Roman" w:cs="Times New Roman"/>
          <w:sz w:val="24"/>
          <w:szCs w:val="24"/>
        </w:rPr>
        <w:t xml:space="preserve"> (Bourdieu</w:t>
      </w:r>
      <w:r w:rsidR="00703694" w:rsidRPr="00BA13EC">
        <w:rPr>
          <w:rFonts w:ascii="Times New Roman" w:hAnsi="Times New Roman" w:cs="Times New Roman"/>
          <w:sz w:val="24"/>
          <w:szCs w:val="24"/>
        </w:rPr>
        <w:t>,</w:t>
      </w:r>
      <w:r w:rsidR="00C202CD" w:rsidRPr="00BA13EC">
        <w:rPr>
          <w:rFonts w:ascii="Times New Roman" w:hAnsi="Times New Roman" w:cs="Times New Roman"/>
          <w:sz w:val="24"/>
          <w:szCs w:val="24"/>
        </w:rPr>
        <w:t xml:space="preserve"> </w:t>
      </w:r>
      <w:r w:rsidR="00703694" w:rsidRPr="00BA13EC">
        <w:rPr>
          <w:rFonts w:ascii="Times New Roman" w:hAnsi="Times New Roman" w:cs="Times New Roman"/>
          <w:sz w:val="24"/>
          <w:szCs w:val="24"/>
        </w:rPr>
        <w:t>1979/</w:t>
      </w:r>
      <w:r w:rsidR="00C202CD" w:rsidRPr="00BA13EC">
        <w:rPr>
          <w:rFonts w:ascii="Times New Roman" w:hAnsi="Times New Roman" w:cs="Times New Roman"/>
          <w:sz w:val="24"/>
          <w:szCs w:val="24"/>
        </w:rPr>
        <w:t>1984)</w:t>
      </w:r>
      <w:r w:rsidR="005450BE" w:rsidRPr="00BA13EC">
        <w:rPr>
          <w:rFonts w:ascii="Times New Roman" w:hAnsi="Times New Roman" w:cs="Times New Roman"/>
          <w:sz w:val="24"/>
          <w:szCs w:val="24"/>
        </w:rPr>
        <w:t xml:space="preserve">. </w:t>
      </w:r>
      <w:r w:rsidR="00421AC3" w:rsidRPr="00BA13EC">
        <w:rPr>
          <w:rFonts w:ascii="Times New Roman" w:hAnsi="Times New Roman" w:cs="Times New Roman"/>
          <w:sz w:val="24"/>
          <w:szCs w:val="24"/>
        </w:rPr>
        <w:t xml:space="preserve">His research with colleagues showed patterns in what people from particular </w:t>
      </w:r>
      <w:r w:rsidR="00715417" w:rsidRPr="00BA13EC">
        <w:rPr>
          <w:rFonts w:ascii="Times New Roman" w:hAnsi="Times New Roman" w:cs="Times New Roman"/>
          <w:sz w:val="24"/>
          <w:szCs w:val="24"/>
        </w:rPr>
        <w:t xml:space="preserve">social </w:t>
      </w:r>
      <w:r w:rsidR="00421AC3" w:rsidRPr="00BA13EC">
        <w:rPr>
          <w:rFonts w:ascii="Times New Roman" w:hAnsi="Times New Roman" w:cs="Times New Roman"/>
          <w:sz w:val="24"/>
          <w:szCs w:val="24"/>
        </w:rPr>
        <w:t>groups though</w:t>
      </w:r>
      <w:r w:rsidR="00203FE0" w:rsidRPr="00BA13EC">
        <w:rPr>
          <w:rFonts w:ascii="Times New Roman" w:hAnsi="Times New Roman" w:cs="Times New Roman"/>
          <w:sz w:val="24"/>
          <w:szCs w:val="24"/>
        </w:rPr>
        <w:t>t</w:t>
      </w:r>
      <w:r w:rsidR="00421AC3" w:rsidRPr="00BA13EC">
        <w:rPr>
          <w:rFonts w:ascii="Times New Roman" w:hAnsi="Times New Roman" w:cs="Times New Roman"/>
          <w:sz w:val="24"/>
          <w:szCs w:val="24"/>
        </w:rPr>
        <w:t xml:space="preserve"> were worthy objects for art, or selections of meals for guests, or leisure activities or sports (amongst a wide variety of interests). </w:t>
      </w:r>
      <w:r w:rsidR="005450BE" w:rsidRPr="00BA13EC">
        <w:rPr>
          <w:rFonts w:ascii="Times New Roman" w:hAnsi="Times New Roman" w:cs="Times New Roman"/>
          <w:sz w:val="24"/>
          <w:szCs w:val="24"/>
        </w:rPr>
        <w:t xml:space="preserve">He used </w:t>
      </w:r>
      <w:r w:rsidR="006632EE" w:rsidRPr="00BA13EC">
        <w:rPr>
          <w:rFonts w:ascii="Times New Roman" w:hAnsi="Times New Roman" w:cs="Times New Roman"/>
          <w:i/>
          <w:sz w:val="24"/>
          <w:szCs w:val="24"/>
        </w:rPr>
        <w:t>distinction</w:t>
      </w:r>
      <w:r w:rsidR="006632EE" w:rsidRPr="00BA13EC">
        <w:rPr>
          <w:rFonts w:ascii="Times New Roman" w:hAnsi="Times New Roman" w:cs="Times New Roman"/>
          <w:sz w:val="24"/>
          <w:szCs w:val="24"/>
        </w:rPr>
        <w:t xml:space="preserve"> </w:t>
      </w:r>
      <w:r w:rsidR="005450BE" w:rsidRPr="00BA13EC">
        <w:rPr>
          <w:rFonts w:ascii="Times New Roman" w:hAnsi="Times New Roman" w:cs="Times New Roman"/>
          <w:sz w:val="24"/>
          <w:szCs w:val="24"/>
        </w:rPr>
        <w:t xml:space="preserve">as a way to explain </w:t>
      </w:r>
      <w:r w:rsidR="008F3401" w:rsidRPr="00BA13EC">
        <w:rPr>
          <w:rFonts w:ascii="Times New Roman" w:hAnsi="Times New Roman" w:cs="Times New Roman"/>
          <w:sz w:val="24"/>
          <w:szCs w:val="24"/>
        </w:rPr>
        <w:t xml:space="preserve">the </w:t>
      </w:r>
      <w:r w:rsidR="005450BE" w:rsidRPr="00BA13EC">
        <w:rPr>
          <w:rFonts w:ascii="Times New Roman" w:hAnsi="Times New Roman" w:cs="Times New Roman"/>
          <w:sz w:val="24"/>
          <w:szCs w:val="24"/>
        </w:rPr>
        <w:t xml:space="preserve">pattern </w:t>
      </w:r>
      <w:r w:rsidR="00421AC3" w:rsidRPr="00BA13EC">
        <w:rPr>
          <w:rFonts w:ascii="Times New Roman" w:hAnsi="Times New Roman" w:cs="Times New Roman"/>
          <w:sz w:val="24"/>
          <w:szCs w:val="24"/>
        </w:rPr>
        <w:t xml:space="preserve">of differences </w:t>
      </w:r>
      <w:r w:rsidR="005450BE" w:rsidRPr="00BA13EC">
        <w:rPr>
          <w:rFonts w:ascii="Times New Roman" w:hAnsi="Times New Roman" w:cs="Times New Roman"/>
          <w:sz w:val="24"/>
          <w:szCs w:val="24"/>
        </w:rPr>
        <w:t>between different social groups</w:t>
      </w:r>
      <w:r w:rsidR="00421AC3" w:rsidRPr="00BA13EC">
        <w:rPr>
          <w:rFonts w:ascii="Times New Roman" w:hAnsi="Times New Roman" w:cs="Times New Roman"/>
          <w:sz w:val="24"/>
          <w:szCs w:val="24"/>
        </w:rPr>
        <w:t xml:space="preserve"> in their preferences.</w:t>
      </w:r>
      <w:r w:rsidR="005450BE" w:rsidRPr="00BA13EC">
        <w:rPr>
          <w:rFonts w:ascii="Times New Roman" w:hAnsi="Times New Roman" w:cs="Times New Roman"/>
          <w:sz w:val="24"/>
          <w:szCs w:val="24"/>
        </w:rPr>
        <w:t xml:space="preserve"> Distinction was a</w:t>
      </w:r>
      <w:r w:rsidR="00A93902" w:rsidRPr="00BA13EC">
        <w:rPr>
          <w:rFonts w:ascii="Times New Roman" w:hAnsi="Times New Roman" w:cs="Times New Roman"/>
          <w:sz w:val="24"/>
          <w:szCs w:val="24"/>
        </w:rPr>
        <w:t>n overarching pattern or</w:t>
      </w:r>
      <w:r w:rsidR="005450BE" w:rsidRPr="00BA13EC">
        <w:rPr>
          <w:rFonts w:ascii="Times New Roman" w:hAnsi="Times New Roman" w:cs="Times New Roman"/>
          <w:sz w:val="24"/>
          <w:szCs w:val="24"/>
        </w:rPr>
        <w:t xml:space="preserve"> </w:t>
      </w:r>
      <w:r w:rsidR="005450BE" w:rsidRPr="00BA13EC">
        <w:rPr>
          <w:rFonts w:ascii="Times New Roman" w:hAnsi="Times New Roman" w:cs="Times New Roman"/>
          <w:i/>
          <w:sz w:val="24"/>
          <w:szCs w:val="24"/>
        </w:rPr>
        <w:t xml:space="preserve">logic </w:t>
      </w:r>
      <w:r w:rsidR="005450BE" w:rsidRPr="00BA13EC">
        <w:rPr>
          <w:rFonts w:ascii="Times New Roman" w:hAnsi="Times New Roman" w:cs="Times New Roman"/>
          <w:sz w:val="24"/>
          <w:szCs w:val="24"/>
        </w:rPr>
        <w:t>of practice</w:t>
      </w:r>
      <w:r w:rsidR="00281E38" w:rsidRPr="00BA13EC">
        <w:rPr>
          <w:rFonts w:ascii="Times New Roman" w:hAnsi="Times New Roman" w:cs="Times New Roman"/>
          <w:sz w:val="24"/>
          <w:szCs w:val="24"/>
        </w:rPr>
        <w:t xml:space="preserve">, </w:t>
      </w:r>
      <w:r w:rsidR="00A97EB3" w:rsidRPr="00BA13EC">
        <w:rPr>
          <w:rFonts w:ascii="Times New Roman" w:hAnsi="Times New Roman" w:cs="Times New Roman"/>
          <w:sz w:val="24"/>
          <w:szCs w:val="24"/>
        </w:rPr>
        <w:t xml:space="preserve">a concept </w:t>
      </w:r>
      <w:r w:rsidR="00A93902" w:rsidRPr="00BA13EC">
        <w:rPr>
          <w:rFonts w:ascii="Times New Roman" w:hAnsi="Times New Roman" w:cs="Times New Roman"/>
          <w:sz w:val="24"/>
          <w:szCs w:val="24"/>
        </w:rPr>
        <w:t xml:space="preserve">developed as a </w:t>
      </w:r>
      <w:r w:rsidR="00C202CD" w:rsidRPr="00BA13EC">
        <w:rPr>
          <w:rFonts w:ascii="Times New Roman" w:hAnsi="Times New Roman" w:cs="Times New Roman"/>
          <w:sz w:val="24"/>
          <w:szCs w:val="24"/>
        </w:rPr>
        <w:t>product of wide-ranging empirical work, which</w:t>
      </w:r>
      <w:r w:rsidR="005450BE" w:rsidRPr="00BA13EC">
        <w:rPr>
          <w:rFonts w:ascii="Times New Roman" w:hAnsi="Times New Roman" w:cs="Times New Roman"/>
          <w:sz w:val="24"/>
          <w:szCs w:val="24"/>
        </w:rPr>
        <w:t xml:space="preserve"> helped to explain </w:t>
      </w:r>
      <w:r w:rsidR="00E23685" w:rsidRPr="00BA13EC">
        <w:rPr>
          <w:rFonts w:ascii="Times New Roman" w:hAnsi="Times New Roman" w:cs="Times New Roman"/>
          <w:sz w:val="24"/>
          <w:szCs w:val="24"/>
        </w:rPr>
        <w:t xml:space="preserve">patterns in the </w:t>
      </w:r>
      <w:r w:rsidR="005450BE" w:rsidRPr="00BA13EC">
        <w:rPr>
          <w:rFonts w:ascii="Times New Roman" w:hAnsi="Times New Roman" w:cs="Times New Roman"/>
          <w:sz w:val="24"/>
          <w:szCs w:val="24"/>
        </w:rPr>
        <w:t xml:space="preserve">consumption of cultural goods in a variety of fields of cultural production. </w:t>
      </w:r>
      <w:r w:rsidR="00A93902" w:rsidRPr="00BA13EC">
        <w:rPr>
          <w:rFonts w:ascii="Times New Roman" w:hAnsi="Times New Roman" w:cs="Times New Roman"/>
          <w:sz w:val="24"/>
          <w:szCs w:val="24"/>
        </w:rPr>
        <w:t xml:space="preserve">Bourdieu’s </w:t>
      </w:r>
      <w:r w:rsidR="003F10B3" w:rsidRPr="00BA13EC">
        <w:rPr>
          <w:rFonts w:ascii="Times New Roman" w:hAnsi="Times New Roman" w:cs="Times New Roman"/>
          <w:sz w:val="24"/>
          <w:szCs w:val="24"/>
        </w:rPr>
        <w:t xml:space="preserve">core insight was that the judgement of </w:t>
      </w:r>
      <w:r w:rsidR="003F10B3" w:rsidRPr="00BA13EC">
        <w:rPr>
          <w:rFonts w:ascii="Times New Roman" w:hAnsi="Times New Roman" w:cs="Times New Roman"/>
          <w:sz w:val="24"/>
          <w:szCs w:val="24"/>
        </w:rPr>
        <w:lastRenderedPageBreak/>
        <w:t>taste – traditionally seen as a</w:t>
      </w:r>
      <w:r w:rsidR="00A97EB3" w:rsidRPr="00BA13EC">
        <w:rPr>
          <w:rFonts w:ascii="Times New Roman" w:hAnsi="Times New Roman" w:cs="Times New Roman"/>
          <w:sz w:val="24"/>
          <w:szCs w:val="24"/>
        </w:rPr>
        <w:t xml:space="preserve"> cultivatable, </w:t>
      </w:r>
      <w:r w:rsidR="00F06FF9" w:rsidRPr="00BA13EC">
        <w:rPr>
          <w:rFonts w:ascii="Times New Roman" w:hAnsi="Times New Roman" w:cs="Times New Roman"/>
          <w:sz w:val="24"/>
          <w:szCs w:val="24"/>
        </w:rPr>
        <w:t>disinterested</w:t>
      </w:r>
      <w:r w:rsidR="00A97EB3" w:rsidRPr="00BA13EC">
        <w:rPr>
          <w:rFonts w:ascii="Times New Roman" w:hAnsi="Times New Roman" w:cs="Times New Roman"/>
          <w:sz w:val="24"/>
          <w:szCs w:val="24"/>
        </w:rPr>
        <w:t xml:space="preserve"> and potentially universal and necessary</w:t>
      </w:r>
      <w:r w:rsidR="003F10B3" w:rsidRPr="00BA13EC">
        <w:rPr>
          <w:rFonts w:ascii="Times New Roman" w:hAnsi="Times New Roman" w:cs="Times New Roman"/>
          <w:sz w:val="24"/>
          <w:szCs w:val="24"/>
        </w:rPr>
        <w:t xml:space="preserve"> judgement that eschewed social divides -- was in fact </w:t>
      </w:r>
      <w:r w:rsidR="003F10B3" w:rsidRPr="00BA13EC">
        <w:rPr>
          <w:rFonts w:ascii="Times New Roman" w:hAnsi="Times New Roman" w:cs="Times New Roman"/>
          <w:i/>
          <w:sz w:val="24"/>
          <w:szCs w:val="24"/>
        </w:rPr>
        <w:t>social</w:t>
      </w:r>
      <w:r w:rsidR="00A93902" w:rsidRPr="00BA13EC">
        <w:rPr>
          <w:rFonts w:ascii="Times New Roman" w:hAnsi="Times New Roman" w:cs="Times New Roman"/>
          <w:i/>
          <w:sz w:val="24"/>
          <w:szCs w:val="24"/>
        </w:rPr>
        <w:t>ly</w:t>
      </w:r>
      <w:r w:rsidR="003F10B3" w:rsidRPr="00BA13EC">
        <w:rPr>
          <w:rFonts w:ascii="Times New Roman" w:hAnsi="Times New Roman" w:cs="Times New Roman"/>
          <w:sz w:val="24"/>
          <w:szCs w:val="24"/>
        </w:rPr>
        <w:t xml:space="preserve"> structured</w:t>
      </w:r>
      <w:r w:rsidR="00C202CD" w:rsidRPr="00BA13EC">
        <w:rPr>
          <w:rFonts w:ascii="Times New Roman" w:hAnsi="Times New Roman" w:cs="Times New Roman"/>
          <w:sz w:val="24"/>
          <w:szCs w:val="24"/>
        </w:rPr>
        <w:t xml:space="preserve"> </w:t>
      </w:r>
      <w:r w:rsidR="003F10B3" w:rsidRPr="00BA13EC">
        <w:rPr>
          <w:rFonts w:ascii="Times New Roman" w:hAnsi="Times New Roman" w:cs="Times New Roman"/>
          <w:sz w:val="24"/>
          <w:szCs w:val="24"/>
        </w:rPr>
        <w:t xml:space="preserve">and distributed among groups in the form of shared dispositions or </w:t>
      </w:r>
      <w:r w:rsidR="003F10B3" w:rsidRPr="00BA13EC">
        <w:rPr>
          <w:rFonts w:ascii="Times New Roman" w:hAnsi="Times New Roman" w:cs="Times New Roman"/>
          <w:i/>
          <w:sz w:val="24"/>
          <w:szCs w:val="24"/>
        </w:rPr>
        <w:t>habitus</w:t>
      </w:r>
      <w:r w:rsidR="003F10B3" w:rsidRPr="00BA13EC">
        <w:rPr>
          <w:rFonts w:ascii="Times New Roman" w:hAnsi="Times New Roman" w:cs="Times New Roman"/>
          <w:sz w:val="24"/>
          <w:szCs w:val="24"/>
        </w:rPr>
        <w:t xml:space="preserve">. </w:t>
      </w:r>
      <w:r w:rsidR="00203FE0" w:rsidRPr="00BA13EC">
        <w:rPr>
          <w:rFonts w:ascii="Times New Roman" w:hAnsi="Times New Roman" w:cs="Times New Roman"/>
          <w:sz w:val="24"/>
          <w:szCs w:val="24"/>
        </w:rPr>
        <w:t xml:space="preserve">People are not born with taste but are socialised into tastes for </w:t>
      </w:r>
      <w:r w:rsidR="008F3401" w:rsidRPr="00BA13EC">
        <w:rPr>
          <w:rFonts w:ascii="Times New Roman" w:hAnsi="Times New Roman" w:cs="Times New Roman"/>
          <w:sz w:val="24"/>
          <w:szCs w:val="24"/>
        </w:rPr>
        <w:t xml:space="preserve">different kinds of </w:t>
      </w:r>
      <w:r w:rsidR="00203FE0" w:rsidRPr="00BA13EC">
        <w:rPr>
          <w:rFonts w:ascii="Times New Roman" w:hAnsi="Times New Roman" w:cs="Times New Roman"/>
          <w:sz w:val="24"/>
          <w:szCs w:val="24"/>
        </w:rPr>
        <w:t xml:space="preserve">cultural things. </w:t>
      </w:r>
      <w:r w:rsidR="00C202CD" w:rsidRPr="00BA13EC">
        <w:rPr>
          <w:rFonts w:ascii="Times New Roman" w:hAnsi="Times New Roman" w:cs="Times New Roman"/>
          <w:sz w:val="24"/>
          <w:szCs w:val="24"/>
        </w:rPr>
        <w:t>It was distinction that helped to explain differences in the taste that people had for different cultural things.</w:t>
      </w:r>
    </w:p>
    <w:p w:rsidR="00B97935" w:rsidRPr="00BA13EC" w:rsidRDefault="00B97935" w:rsidP="000B2D7A">
      <w:pPr>
        <w:jc w:val="both"/>
        <w:rPr>
          <w:rFonts w:ascii="Times New Roman" w:hAnsi="Times New Roman" w:cs="Times New Roman"/>
          <w:sz w:val="24"/>
          <w:szCs w:val="24"/>
        </w:rPr>
      </w:pPr>
      <w:r w:rsidRPr="00BA13EC">
        <w:rPr>
          <w:rFonts w:ascii="Times New Roman" w:hAnsi="Times New Roman" w:cs="Times New Roman"/>
          <w:sz w:val="24"/>
          <w:szCs w:val="24"/>
        </w:rPr>
        <w:t>Bourdieu (</w:t>
      </w:r>
      <w:r w:rsidR="00703694" w:rsidRPr="00BA13EC">
        <w:rPr>
          <w:rFonts w:ascii="Times New Roman" w:hAnsi="Times New Roman" w:cs="Times New Roman"/>
          <w:sz w:val="24"/>
          <w:szCs w:val="24"/>
        </w:rPr>
        <w:t>1979/</w:t>
      </w:r>
      <w:r w:rsidRPr="00BA13EC">
        <w:rPr>
          <w:rFonts w:ascii="Times New Roman" w:hAnsi="Times New Roman" w:cs="Times New Roman"/>
          <w:sz w:val="24"/>
          <w:szCs w:val="24"/>
        </w:rPr>
        <w:t>1984) had a critical agenda in mind with the distinction research. ‘Taste’ for high culture, in the minds of French policy makers and the broader public, was taken as marker of a refined perception or understanding giving people access to realities and truths. The goods of humankind required a cultivated taste to be fully appreciated, an assumption that justified allocation of public resources to the high culture industry. However, it was only certain social groups that were enriched – materially</w:t>
      </w:r>
      <w:r w:rsidR="004D2098" w:rsidRPr="00BA13EC">
        <w:rPr>
          <w:rFonts w:ascii="Times New Roman" w:hAnsi="Times New Roman" w:cs="Times New Roman"/>
          <w:sz w:val="24"/>
          <w:szCs w:val="24"/>
        </w:rPr>
        <w:t>, socially and</w:t>
      </w:r>
      <w:r w:rsidRPr="00BA13EC">
        <w:rPr>
          <w:rFonts w:ascii="Times New Roman" w:hAnsi="Times New Roman" w:cs="Times New Roman"/>
          <w:sz w:val="24"/>
          <w:szCs w:val="24"/>
        </w:rPr>
        <w:t xml:space="preserve"> spiritually </w:t>
      </w:r>
      <w:r w:rsidR="004D2098" w:rsidRPr="00BA13EC">
        <w:rPr>
          <w:rFonts w:ascii="Times New Roman" w:hAnsi="Times New Roman" w:cs="Times New Roman"/>
          <w:sz w:val="24"/>
          <w:szCs w:val="24"/>
        </w:rPr>
        <w:t>–</w:t>
      </w:r>
      <w:r w:rsidRPr="00BA13EC">
        <w:rPr>
          <w:rFonts w:ascii="Times New Roman" w:hAnsi="Times New Roman" w:cs="Times New Roman"/>
          <w:sz w:val="24"/>
          <w:szCs w:val="24"/>
        </w:rPr>
        <w:t xml:space="preserve"> </w:t>
      </w:r>
      <w:r w:rsidR="004D2098" w:rsidRPr="00BA13EC">
        <w:rPr>
          <w:rFonts w:ascii="Times New Roman" w:hAnsi="Times New Roman" w:cs="Times New Roman"/>
          <w:sz w:val="24"/>
          <w:szCs w:val="24"/>
        </w:rPr>
        <w:t xml:space="preserve">by these policies. For Bourdieu, this inequitable situation was bolstered by powerful, well established theoretical and cultural assumptions about the nature of taste. This theoretically coherent position was represented by the aesthetic theory of the Enlightenment philosopher Immanuel Kant, who argued that aesthetic judgements were intrinsically ‘disinterested’ (pure of motives of gain or reputation), were ‘universal’ (every reasonable person would see that same thing as beautiful) and ‘necessary’ (worthy objects would always be appreciated as such). However, for Bourdieu, an investigation of the mapping of social groupings and aesthetic </w:t>
      </w:r>
      <w:r w:rsidR="000B2D7A" w:rsidRPr="00BA13EC">
        <w:rPr>
          <w:rFonts w:ascii="Times New Roman" w:hAnsi="Times New Roman" w:cs="Times New Roman"/>
          <w:sz w:val="24"/>
          <w:szCs w:val="24"/>
        </w:rPr>
        <w:t>judgement</w:t>
      </w:r>
      <w:r w:rsidR="004D2098" w:rsidRPr="00BA13EC">
        <w:rPr>
          <w:rFonts w:ascii="Times New Roman" w:hAnsi="Times New Roman" w:cs="Times New Roman"/>
          <w:sz w:val="24"/>
          <w:szCs w:val="24"/>
        </w:rPr>
        <w:t xml:space="preserve"> revealed that these judgements did not conform to the Enlightenment understanding of the nature and meaning of the beautiful. Bourdieu argued that far from expressing a disinterested perception of higher truths, taste functioned in </w:t>
      </w:r>
      <w:r w:rsidR="00EE2D00" w:rsidRPr="00BA13EC">
        <w:rPr>
          <w:rFonts w:ascii="Times New Roman" w:hAnsi="Times New Roman" w:cs="Times New Roman"/>
          <w:sz w:val="24"/>
          <w:szCs w:val="24"/>
        </w:rPr>
        <w:t>an inherently ‘interested’ fashion that served to differentiate and position social groups. Taste turns out to be a ‘competence’ developed within privileged groups for identifying proper art and thus signalling one’s position in the social order. As Bourdieu illustrates,</w:t>
      </w:r>
    </w:p>
    <w:p w:rsidR="00EE2D00" w:rsidRPr="00BA13EC" w:rsidRDefault="00EE2D00" w:rsidP="000B2D7A">
      <w:pPr>
        <w:ind w:left="720"/>
        <w:jc w:val="both"/>
        <w:rPr>
          <w:rFonts w:ascii="Times New Roman" w:hAnsi="Times New Roman" w:cs="Times New Roman"/>
          <w:sz w:val="24"/>
          <w:szCs w:val="24"/>
        </w:rPr>
      </w:pPr>
      <w:r w:rsidRPr="00BA13EC">
        <w:rPr>
          <w:rFonts w:ascii="Times New Roman" w:hAnsi="Times New Roman" w:cs="Times New Roman"/>
          <w:sz w:val="24"/>
          <w:szCs w:val="24"/>
        </w:rPr>
        <w:t>When faced with legitimate [proper, true] works of art, people most lacking the specific competence apply to them the perceptual schemes of their own ethos, the very ones that structure their everyday perception of everyday existence....The result is a systematic ‘reduction’ of things of art to the things of life...which is barbarism par excellence from the standpoint of the pure aesthetic. (</w:t>
      </w:r>
      <w:r w:rsidR="00703694" w:rsidRPr="00BA13EC">
        <w:rPr>
          <w:rFonts w:ascii="Times New Roman" w:hAnsi="Times New Roman" w:cs="Times New Roman"/>
          <w:sz w:val="24"/>
          <w:szCs w:val="24"/>
        </w:rPr>
        <w:t>1979/</w:t>
      </w:r>
      <w:r w:rsidRPr="00BA13EC">
        <w:rPr>
          <w:rFonts w:ascii="Times New Roman" w:hAnsi="Times New Roman" w:cs="Times New Roman"/>
          <w:sz w:val="24"/>
          <w:szCs w:val="24"/>
        </w:rPr>
        <w:t>1984, p. 44)</w:t>
      </w:r>
    </w:p>
    <w:p w:rsidR="008F3401" w:rsidRPr="00BA13EC" w:rsidRDefault="006632EE" w:rsidP="000B2D7A">
      <w:pPr>
        <w:jc w:val="both"/>
        <w:rPr>
          <w:rFonts w:ascii="Times New Roman" w:hAnsi="Times New Roman" w:cs="Times New Roman"/>
          <w:sz w:val="24"/>
          <w:szCs w:val="24"/>
        </w:rPr>
      </w:pPr>
      <w:r w:rsidRPr="00BA13EC">
        <w:rPr>
          <w:rFonts w:ascii="Times New Roman" w:hAnsi="Times New Roman" w:cs="Times New Roman"/>
          <w:sz w:val="24"/>
          <w:szCs w:val="24"/>
        </w:rPr>
        <w:t>L</w:t>
      </w:r>
      <w:r w:rsidR="005450BE" w:rsidRPr="00BA13EC">
        <w:rPr>
          <w:rFonts w:ascii="Times New Roman" w:hAnsi="Times New Roman" w:cs="Times New Roman"/>
          <w:sz w:val="24"/>
          <w:szCs w:val="24"/>
        </w:rPr>
        <w:t>ocated in field</w:t>
      </w:r>
      <w:r w:rsidR="003F10B3" w:rsidRPr="00BA13EC">
        <w:rPr>
          <w:rFonts w:ascii="Times New Roman" w:hAnsi="Times New Roman" w:cs="Times New Roman"/>
          <w:sz w:val="24"/>
          <w:szCs w:val="24"/>
        </w:rPr>
        <w:t>s</w:t>
      </w:r>
      <w:r w:rsidR="005450BE" w:rsidRPr="00BA13EC">
        <w:rPr>
          <w:rFonts w:ascii="Times New Roman" w:hAnsi="Times New Roman" w:cs="Times New Roman"/>
          <w:sz w:val="24"/>
          <w:szCs w:val="24"/>
        </w:rPr>
        <w:t xml:space="preserve"> of cultural production, Bourdieu </w:t>
      </w:r>
      <w:r w:rsidR="00A61EF5" w:rsidRPr="00BA13EC">
        <w:rPr>
          <w:rFonts w:ascii="Times New Roman" w:hAnsi="Times New Roman" w:cs="Times New Roman"/>
          <w:sz w:val="24"/>
          <w:szCs w:val="24"/>
        </w:rPr>
        <w:t xml:space="preserve">did not initially use </w:t>
      </w:r>
      <w:r w:rsidR="00EE2D00" w:rsidRPr="00BA13EC">
        <w:rPr>
          <w:rFonts w:ascii="Times New Roman" w:hAnsi="Times New Roman" w:cs="Times New Roman"/>
          <w:sz w:val="24"/>
          <w:szCs w:val="24"/>
        </w:rPr>
        <w:t>‘</w:t>
      </w:r>
      <w:r w:rsidR="00A61EF5" w:rsidRPr="00BA13EC">
        <w:rPr>
          <w:rFonts w:ascii="Times New Roman" w:hAnsi="Times New Roman" w:cs="Times New Roman"/>
          <w:sz w:val="24"/>
          <w:szCs w:val="24"/>
        </w:rPr>
        <w:t>distinction</w:t>
      </w:r>
      <w:r w:rsidR="00EE2D00" w:rsidRPr="00BA13EC">
        <w:rPr>
          <w:rFonts w:ascii="Times New Roman" w:hAnsi="Times New Roman" w:cs="Times New Roman"/>
          <w:sz w:val="24"/>
          <w:szCs w:val="24"/>
        </w:rPr>
        <w:t>’</w:t>
      </w:r>
      <w:r w:rsidR="00A61EF5" w:rsidRPr="00BA13EC">
        <w:rPr>
          <w:rFonts w:ascii="Times New Roman" w:hAnsi="Times New Roman" w:cs="Times New Roman"/>
          <w:sz w:val="24"/>
          <w:szCs w:val="24"/>
        </w:rPr>
        <w:t xml:space="preserve"> </w:t>
      </w:r>
      <w:r w:rsidR="005450BE" w:rsidRPr="00BA13EC">
        <w:rPr>
          <w:rFonts w:ascii="Times New Roman" w:hAnsi="Times New Roman" w:cs="Times New Roman"/>
          <w:sz w:val="24"/>
          <w:szCs w:val="24"/>
        </w:rPr>
        <w:t xml:space="preserve">as a way to talk about </w:t>
      </w:r>
      <w:r w:rsidRPr="00BA13EC">
        <w:rPr>
          <w:rFonts w:ascii="Times New Roman" w:hAnsi="Times New Roman" w:cs="Times New Roman"/>
          <w:sz w:val="24"/>
          <w:szCs w:val="24"/>
        </w:rPr>
        <w:t xml:space="preserve">the field of </w:t>
      </w:r>
      <w:r w:rsidR="005450BE" w:rsidRPr="00BA13EC">
        <w:rPr>
          <w:rFonts w:ascii="Times New Roman" w:hAnsi="Times New Roman" w:cs="Times New Roman"/>
          <w:sz w:val="24"/>
          <w:szCs w:val="24"/>
        </w:rPr>
        <w:t>education</w:t>
      </w:r>
      <w:r w:rsidRPr="00BA13EC">
        <w:rPr>
          <w:rFonts w:ascii="Times New Roman" w:hAnsi="Times New Roman" w:cs="Times New Roman"/>
          <w:sz w:val="24"/>
          <w:szCs w:val="24"/>
        </w:rPr>
        <w:t xml:space="preserve"> (or higher education)</w:t>
      </w:r>
      <w:r w:rsidR="005450BE" w:rsidRPr="00BA13EC">
        <w:rPr>
          <w:rFonts w:ascii="Times New Roman" w:hAnsi="Times New Roman" w:cs="Times New Roman"/>
          <w:sz w:val="24"/>
          <w:szCs w:val="24"/>
        </w:rPr>
        <w:t xml:space="preserve">. Instead, Bourdieu </w:t>
      </w:r>
      <w:r w:rsidR="00A61EF5" w:rsidRPr="00BA13EC">
        <w:rPr>
          <w:rFonts w:ascii="Times New Roman" w:hAnsi="Times New Roman" w:cs="Times New Roman"/>
          <w:sz w:val="24"/>
          <w:szCs w:val="24"/>
        </w:rPr>
        <w:t xml:space="preserve">drew on the concept of </w:t>
      </w:r>
      <w:r w:rsidR="00EE2D00" w:rsidRPr="00BA13EC">
        <w:rPr>
          <w:rFonts w:ascii="Times New Roman" w:hAnsi="Times New Roman" w:cs="Times New Roman"/>
          <w:sz w:val="24"/>
          <w:szCs w:val="24"/>
        </w:rPr>
        <w:t xml:space="preserve">‘reproduction’ </w:t>
      </w:r>
      <w:r w:rsidR="005450BE" w:rsidRPr="00BA13EC">
        <w:rPr>
          <w:rFonts w:ascii="Times New Roman" w:hAnsi="Times New Roman" w:cs="Times New Roman"/>
          <w:sz w:val="24"/>
          <w:szCs w:val="24"/>
        </w:rPr>
        <w:t xml:space="preserve">to explain </w:t>
      </w:r>
      <w:r w:rsidR="003F10B3" w:rsidRPr="00BA13EC">
        <w:rPr>
          <w:rFonts w:ascii="Times New Roman" w:hAnsi="Times New Roman" w:cs="Times New Roman"/>
          <w:sz w:val="24"/>
          <w:szCs w:val="24"/>
        </w:rPr>
        <w:t>the way education institutions function</w:t>
      </w:r>
      <w:r w:rsidR="00EE2D00" w:rsidRPr="00BA13EC">
        <w:rPr>
          <w:rFonts w:ascii="Times New Roman" w:hAnsi="Times New Roman" w:cs="Times New Roman"/>
          <w:sz w:val="24"/>
          <w:szCs w:val="24"/>
        </w:rPr>
        <w:t xml:space="preserve"> (Bourdieu and Passeron, 1977/1991)</w:t>
      </w:r>
      <w:r w:rsidR="00C202CD" w:rsidRPr="00BA13EC">
        <w:rPr>
          <w:rFonts w:ascii="Times New Roman" w:hAnsi="Times New Roman" w:cs="Times New Roman"/>
          <w:sz w:val="24"/>
          <w:szCs w:val="24"/>
        </w:rPr>
        <w:t xml:space="preserve">. </w:t>
      </w:r>
      <w:r w:rsidR="00703694" w:rsidRPr="00BA13EC">
        <w:rPr>
          <w:rFonts w:ascii="Times New Roman" w:hAnsi="Times New Roman" w:cs="Times New Roman"/>
          <w:sz w:val="24"/>
          <w:szCs w:val="24"/>
        </w:rPr>
        <w:t xml:space="preserve">According to the theory of reproduction, </w:t>
      </w:r>
      <w:r w:rsidR="00C202CD" w:rsidRPr="00BA13EC">
        <w:rPr>
          <w:rFonts w:ascii="Times New Roman" w:hAnsi="Times New Roman" w:cs="Times New Roman"/>
          <w:sz w:val="24"/>
          <w:szCs w:val="24"/>
        </w:rPr>
        <w:t xml:space="preserve">schools, universities and other education institutions </w:t>
      </w:r>
      <w:r w:rsidR="0053412F" w:rsidRPr="00BA13EC">
        <w:rPr>
          <w:rFonts w:ascii="Times New Roman" w:hAnsi="Times New Roman" w:cs="Times New Roman"/>
          <w:sz w:val="24"/>
          <w:szCs w:val="24"/>
        </w:rPr>
        <w:t xml:space="preserve">together </w:t>
      </w:r>
      <w:r w:rsidR="00C202CD" w:rsidRPr="00BA13EC">
        <w:rPr>
          <w:rFonts w:ascii="Times New Roman" w:hAnsi="Times New Roman" w:cs="Times New Roman"/>
          <w:sz w:val="24"/>
          <w:szCs w:val="24"/>
        </w:rPr>
        <w:t xml:space="preserve">act as a selecting device whose ultimate product is a neatly divided student cohort, </w:t>
      </w:r>
      <w:r w:rsidR="00A61EF5" w:rsidRPr="00BA13EC">
        <w:rPr>
          <w:rFonts w:ascii="Times New Roman" w:hAnsi="Times New Roman" w:cs="Times New Roman"/>
          <w:sz w:val="24"/>
          <w:szCs w:val="24"/>
        </w:rPr>
        <w:t xml:space="preserve">legitimated by qualifications, </w:t>
      </w:r>
      <w:r w:rsidR="00C202CD" w:rsidRPr="00BA13EC">
        <w:rPr>
          <w:rFonts w:ascii="Times New Roman" w:hAnsi="Times New Roman" w:cs="Times New Roman"/>
          <w:sz w:val="24"/>
          <w:szCs w:val="24"/>
        </w:rPr>
        <w:t xml:space="preserve">whose </w:t>
      </w:r>
      <w:r w:rsidR="00281E38" w:rsidRPr="00BA13EC">
        <w:rPr>
          <w:rFonts w:ascii="Times New Roman" w:hAnsi="Times New Roman" w:cs="Times New Roman"/>
          <w:sz w:val="24"/>
          <w:szCs w:val="24"/>
        </w:rPr>
        <w:t xml:space="preserve">post education </w:t>
      </w:r>
      <w:r w:rsidR="00C202CD" w:rsidRPr="00BA13EC">
        <w:rPr>
          <w:rFonts w:ascii="Times New Roman" w:hAnsi="Times New Roman" w:cs="Times New Roman"/>
          <w:sz w:val="24"/>
          <w:szCs w:val="24"/>
        </w:rPr>
        <w:t>destinations also happened to follow along well established cultural and social divisions in society</w:t>
      </w:r>
      <w:r w:rsidR="003F10B3" w:rsidRPr="00BA13EC">
        <w:rPr>
          <w:rFonts w:ascii="Times New Roman" w:hAnsi="Times New Roman" w:cs="Times New Roman"/>
          <w:sz w:val="24"/>
          <w:szCs w:val="24"/>
        </w:rPr>
        <w:t>.</w:t>
      </w:r>
      <w:r w:rsidR="003E4739" w:rsidRPr="00BA13EC">
        <w:rPr>
          <w:rFonts w:ascii="Times New Roman" w:hAnsi="Times New Roman" w:cs="Times New Roman"/>
          <w:sz w:val="24"/>
          <w:szCs w:val="24"/>
        </w:rPr>
        <w:t xml:space="preserve"> </w:t>
      </w:r>
      <w:r w:rsidR="0053412F" w:rsidRPr="00BA13EC">
        <w:rPr>
          <w:rFonts w:ascii="Times New Roman" w:hAnsi="Times New Roman" w:cs="Times New Roman"/>
          <w:sz w:val="24"/>
          <w:szCs w:val="24"/>
        </w:rPr>
        <w:t xml:space="preserve">Reproduction was the overall </w:t>
      </w:r>
      <w:r w:rsidR="00D47D68" w:rsidRPr="00BA13EC">
        <w:rPr>
          <w:rFonts w:ascii="Times New Roman" w:hAnsi="Times New Roman" w:cs="Times New Roman"/>
          <w:sz w:val="24"/>
          <w:szCs w:val="24"/>
        </w:rPr>
        <w:t xml:space="preserve">cohesive force </w:t>
      </w:r>
      <w:r w:rsidR="0053412F" w:rsidRPr="00BA13EC">
        <w:rPr>
          <w:rFonts w:ascii="Times New Roman" w:hAnsi="Times New Roman" w:cs="Times New Roman"/>
          <w:sz w:val="24"/>
          <w:szCs w:val="24"/>
        </w:rPr>
        <w:t>that held together pract</w:t>
      </w:r>
      <w:r w:rsidR="00703694" w:rsidRPr="00BA13EC">
        <w:rPr>
          <w:rFonts w:ascii="Times New Roman" w:hAnsi="Times New Roman" w:cs="Times New Roman"/>
          <w:sz w:val="24"/>
          <w:szCs w:val="24"/>
        </w:rPr>
        <w:t>ices of education that makes it an effective social ordering system.</w:t>
      </w:r>
      <w:r w:rsidR="0053412F" w:rsidRPr="00BA13EC">
        <w:rPr>
          <w:rFonts w:ascii="Times New Roman" w:hAnsi="Times New Roman" w:cs="Times New Roman"/>
          <w:sz w:val="24"/>
          <w:szCs w:val="24"/>
        </w:rPr>
        <w:t xml:space="preserve"> </w:t>
      </w:r>
    </w:p>
    <w:p w:rsidR="002A045B" w:rsidRPr="00BA13EC" w:rsidRDefault="00421AC3" w:rsidP="000B2D7A">
      <w:pPr>
        <w:jc w:val="both"/>
        <w:rPr>
          <w:rFonts w:ascii="Times New Roman" w:hAnsi="Times New Roman" w:cs="Times New Roman"/>
          <w:sz w:val="24"/>
          <w:szCs w:val="24"/>
        </w:rPr>
      </w:pPr>
      <w:r w:rsidRPr="00BA13EC">
        <w:rPr>
          <w:rFonts w:ascii="Times New Roman" w:hAnsi="Times New Roman" w:cs="Times New Roman"/>
          <w:sz w:val="24"/>
          <w:szCs w:val="24"/>
        </w:rPr>
        <w:t>We argue</w:t>
      </w:r>
      <w:r w:rsidR="00203FE0" w:rsidRPr="00BA13EC">
        <w:rPr>
          <w:rFonts w:ascii="Times New Roman" w:hAnsi="Times New Roman" w:cs="Times New Roman"/>
          <w:sz w:val="24"/>
          <w:szCs w:val="24"/>
        </w:rPr>
        <w:t xml:space="preserve"> </w:t>
      </w:r>
      <w:r w:rsidRPr="00BA13EC">
        <w:rPr>
          <w:rFonts w:ascii="Times New Roman" w:hAnsi="Times New Roman" w:cs="Times New Roman"/>
          <w:sz w:val="24"/>
          <w:szCs w:val="24"/>
        </w:rPr>
        <w:t>that w</w:t>
      </w:r>
      <w:r w:rsidR="006632EE" w:rsidRPr="00BA13EC">
        <w:rPr>
          <w:rFonts w:ascii="Times New Roman" w:hAnsi="Times New Roman" w:cs="Times New Roman"/>
          <w:sz w:val="24"/>
          <w:szCs w:val="24"/>
        </w:rPr>
        <w:t xml:space="preserve">hat has changed since Bourdieu’s initial </w:t>
      </w:r>
      <w:r w:rsidR="00A93902" w:rsidRPr="00BA13EC">
        <w:rPr>
          <w:rFonts w:ascii="Times New Roman" w:hAnsi="Times New Roman" w:cs="Times New Roman"/>
          <w:sz w:val="24"/>
          <w:szCs w:val="24"/>
        </w:rPr>
        <w:t xml:space="preserve">sociological </w:t>
      </w:r>
      <w:r w:rsidR="006632EE" w:rsidRPr="00BA13EC">
        <w:rPr>
          <w:rFonts w:ascii="Times New Roman" w:hAnsi="Times New Roman" w:cs="Times New Roman"/>
          <w:sz w:val="24"/>
          <w:szCs w:val="24"/>
        </w:rPr>
        <w:t xml:space="preserve">work on education </w:t>
      </w:r>
      <w:r w:rsidR="00A93902" w:rsidRPr="00BA13EC">
        <w:rPr>
          <w:rFonts w:ascii="Times New Roman" w:hAnsi="Times New Roman" w:cs="Times New Roman"/>
          <w:sz w:val="24"/>
          <w:szCs w:val="24"/>
        </w:rPr>
        <w:t xml:space="preserve">in the 1960s and 1970s </w:t>
      </w:r>
      <w:r w:rsidR="003F10B3" w:rsidRPr="00BA13EC">
        <w:rPr>
          <w:rFonts w:ascii="Times New Roman" w:hAnsi="Times New Roman" w:cs="Times New Roman"/>
          <w:sz w:val="24"/>
          <w:szCs w:val="24"/>
        </w:rPr>
        <w:t>is the slow turning of education into a range of overlapping markets</w:t>
      </w:r>
      <w:r w:rsidR="000E03C9" w:rsidRPr="00BA13EC">
        <w:rPr>
          <w:rFonts w:ascii="Times New Roman" w:hAnsi="Times New Roman" w:cs="Times New Roman"/>
          <w:sz w:val="24"/>
          <w:szCs w:val="24"/>
        </w:rPr>
        <w:t xml:space="preserve"> through successive and cumulative waves of policy</w:t>
      </w:r>
      <w:r w:rsidR="00DD5104" w:rsidRPr="00BA13EC">
        <w:rPr>
          <w:rFonts w:ascii="Times New Roman" w:hAnsi="Times New Roman" w:cs="Times New Roman"/>
          <w:sz w:val="24"/>
          <w:szCs w:val="24"/>
        </w:rPr>
        <w:t xml:space="preserve">, initiating fundamental </w:t>
      </w:r>
      <w:r w:rsidR="00A93902" w:rsidRPr="00BA13EC">
        <w:rPr>
          <w:rFonts w:ascii="Times New Roman" w:hAnsi="Times New Roman" w:cs="Times New Roman"/>
          <w:sz w:val="24"/>
          <w:szCs w:val="24"/>
        </w:rPr>
        <w:t xml:space="preserve">and cascading </w:t>
      </w:r>
      <w:r w:rsidR="00DD5104" w:rsidRPr="00BA13EC">
        <w:rPr>
          <w:rFonts w:ascii="Times New Roman" w:hAnsi="Times New Roman" w:cs="Times New Roman"/>
          <w:sz w:val="24"/>
          <w:szCs w:val="24"/>
        </w:rPr>
        <w:lastRenderedPageBreak/>
        <w:t xml:space="preserve">changes </w:t>
      </w:r>
      <w:r w:rsidR="00A93902" w:rsidRPr="00BA13EC">
        <w:rPr>
          <w:rFonts w:ascii="Times New Roman" w:hAnsi="Times New Roman" w:cs="Times New Roman"/>
          <w:sz w:val="24"/>
          <w:szCs w:val="24"/>
        </w:rPr>
        <w:t xml:space="preserve">through the </w:t>
      </w:r>
      <w:r w:rsidR="00DD5104" w:rsidRPr="00BA13EC">
        <w:rPr>
          <w:rFonts w:ascii="Times New Roman" w:hAnsi="Times New Roman" w:cs="Times New Roman"/>
          <w:sz w:val="24"/>
          <w:szCs w:val="24"/>
        </w:rPr>
        <w:t>field</w:t>
      </w:r>
      <w:r w:rsidR="00A93902" w:rsidRPr="00BA13EC">
        <w:rPr>
          <w:rFonts w:ascii="Times New Roman" w:hAnsi="Times New Roman" w:cs="Times New Roman"/>
          <w:sz w:val="24"/>
          <w:szCs w:val="24"/>
        </w:rPr>
        <w:t>s</w:t>
      </w:r>
      <w:r w:rsidR="00DD5104" w:rsidRPr="00BA13EC">
        <w:rPr>
          <w:rFonts w:ascii="Times New Roman" w:hAnsi="Times New Roman" w:cs="Times New Roman"/>
          <w:sz w:val="24"/>
          <w:szCs w:val="24"/>
        </w:rPr>
        <w:t xml:space="preserve"> of education</w:t>
      </w:r>
      <w:r w:rsidR="00E01D4C" w:rsidRPr="00BA13EC">
        <w:rPr>
          <w:rFonts w:ascii="Times New Roman" w:hAnsi="Times New Roman" w:cs="Times New Roman"/>
          <w:sz w:val="24"/>
          <w:szCs w:val="24"/>
        </w:rPr>
        <w:t>. T</w:t>
      </w:r>
      <w:r w:rsidR="006632EE" w:rsidRPr="00BA13EC">
        <w:rPr>
          <w:rFonts w:ascii="Times New Roman" w:hAnsi="Times New Roman" w:cs="Times New Roman"/>
          <w:sz w:val="24"/>
          <w:szCs w:val="24"/>
        </w:rPr>
        <w:t>he move of student</w:t>
      </w:r>
      <w:r w:rsidR="00E01D4C" w:rsidRPr="00BA13EC">
        <w:rPr>
          <w:rFonts w:ascii="Times New Roman" w:hAnsi="Times New Roman" w:cs="Times New Roman"/>
          <w:sz w:val="24"/>
          <w:szCs w:val="24"/>
        </w:rPr>
        <w:t>s</w:t>
      </w:r>
      <w:r w:rsidR="006632EE" w:rsidRPr="00BA13EC">
        <w:rPr>
          <w:rFonts w:ascii="Times New Roman" w:hAnsi="Times New Roman" w:cs="Times New Roman"/>
          <w:sz w:val="24"/>
          <w:szCs w:val="24"/>
        </w:rPr>
        <w:t xml:space="preserve"> between education sectors </w:t>
      </w:r>
      <w:r w:rsidR="00DD5104" w:rsidRPr="00BA13EC">
        <w:rPr>
          <w:rFonts w:ascii="Times New Roman" w:hAnsi="Times New Roman" w:cs="Times New Roman"/>
          <w:sz w:val="24"/>
          <w:szCs w:val="24"/>
        </w:rPr>
        <w:t xml:space="preserve">now </w:t>
      </w:r>
      <w:r w:rsidR="00A93902" w:rsidRPr="00BA13EC">
        <w:rPr>
          <w:rFonts w:ascii="Times New Roman" w:hAnsi="Times New Roman" w:cs="Times New Roman"/>
          <w:sz w:val="24"/>
          <w:szCs w:val="24"/>
        </w:rPr>
        <w:t xml:space="preserve">demands </w:t>
      </w:r>
      <w:r w:rsidR="006632EE" w:rsidRPr="00BA13EC">
        <w:rPr>
          <w:rFonts w:ascii="Times New Roman" w:hAnsi="Times New Roman" w:cs="Times New Roman"/>
          <w:sz w:val="24"/>
          <w:szCs w:val="24"/>
        </w:rPr>
        <w:t xml:space="preserve">and </w:t>
      </w:r>
      <w:r w:rsidR="00A93902" w:rsidRPr="00BA13EC">
        <w:rPr>
          <w:rFonts w:ascii="Times New Roman" w:hAnsi="Times New Roman" w:cs="Times New Roman"/>
          <w:sz w:val="24"/>
          <w:szCs w:val="24"/>
        </w:rPr>
        <w:t xml:space="preserve">is </w:t>
      </w:r>
      <w:r w:rsidR="006632EE" w:rsidRPr="00BA13EC">
        <w:rPr>
          <w:rFonts w:ascii="Times New Roman" w:hAnsi="Times New Roman" w:cs="Times New Roman"/>
          <w:sz w:val="24"/>
          <w:szCs w:val="24"/>
        </w:rPr>
        <w:t xml:space="preserve">accompanied by cultural choices, </w:t>
      </w:r>
      <w:r w:rsidR="00A93902" w:rsidRPr="00BA13EC">
        <w:rPr>
          <w:rFonts w:ascii="Times New Roman" w:hAnsi="Times New Roman" w:cs="Times New Roman"/>
          <w:sz w:val="24"/>
          <w:szCs w:val="24"/>
        </w:rPr>
        <w:t>which</w:t>
      </w:r>
      <w:r w:rsidR="006632EE" w:rsidRPr="00BA13EC">
        <w:rPr>
          <w:rFonts w:ascii="Times New Roman" w:hAnsi="Times New Roman" w:cs="Times New Roman"/>
          <w:sz w:val="24"/>
          <w:szCs w:val="24"/>
        </w:rPr>
        <w:t xml:space="preserve"> </w:t>
      </w:r>
      <w:r w:rsidR="00E01D4C" w:rsidRPr="00BA13EC">
        <w:rPr>
          <w:rFonts w:ascii="Times New Roman" w:hAnsi="Times New Roman" w:cs="Times New Roman"/>
          <w:sz w:val="24"/>
          <w:szCs w:val="24"/>
        </w:rPr>
        <w:t>require</w:t>
      </w:r>
      <w:r w:rsidR="003623FE" w:rsidRPr="00BA13EC">
        <w:rPr>
          <w:rFonts w:ascii="Times New Roman" w:hAnsi="Times New Roman" w:cs="Times New Roman"/>
          <w:sz w:val="24"/>
          <w:szCs w:val="24"/>
        </w:rPr>
        <w:t>s</w:t>
      </w:r>
      <w:r w:rsidR="00E01D4C" w:rsidRPr="00BA13EC">
        <w:rPr>
          <w:rFonts w:ascii="Times New Roman" w:hAnsi="Times New Roman" w:cs="Times New Roman"/>
          <w:sz w:val="24"/>
          <w:szCs w:val="24"/>
        </w:rPr>
        <w:t xml:space="preserve"> </w:t>
      </w:r>
      <w:r w:rsidR="006632EE" w:rsidRPr="00BA13EC">
        <w:rPr>
          <w:rFonts w:ascii="Times New Roman" w:hAnsi="Times New Roman" w:cs="Times New Roman"/>
          <w:sz w:val="24"/>
          <w:szCs w:val="24"/>
        </w:rPr>
        <w:t>the activation of taste</w:t>
      </w:r>
      <w:r w:rsidR="000E03C9" w:rsidRPr="00BA13EC">
        <w:rPr>
          <w:rFonts w:ascii="Times New Roman" w:hAnsi="Times New Roman" w:cs="Times New Roman"/>
          <w:sz w:val="24"/>
          <w:szCs w:val="24"/>
        </w:rPr>
        <w:t>,</w:t>
      </w:r>
      <w:r w:rsidR="006632EE" w:rsidRPr="00BA13EC">
        <w:rPr>
          <w:rFonts w:ascii="Times New Roman" w:hAnsi="Times New Roman" w:cs="Times New Roman"/>
          <w:sz w:val="24"/>
          <w:szCs w:val="24"/>
        </w:rPr>
        <w:t xml:space="preserve"> </w:t>
      </w:r>
      <w:r w:rsidR="00A93902" w:rsidRPr="00BA13EC">
        <w:rPr>
          <w:rFonts w:ascii="Times New Roman" w:hAnsi="Times New Roman" w:cs="Times New Roman"/>
          <w:sz w:val="24"/>
          <w:szCs w:val="24"/>
        </w:rPr>
        <w:t xml:space="preserve">initially </w:t>
      </w:r>
      <w:r w:rsidR="000E03C9" w:rsidRPr="00BA13EC">
        <w:rPr>
          <w:rFonts w:ascii="Times New Roman" w:hAnsi="Times New Roman" w:cs="Times New Roman"/>
          <w:sz w:val="24"/>
          <w:szCs w:val="24"/>
        </w:rPr>
        <w:t xml:space="preserve">of </w:t>
      </w:r>
      <w:r w:rsidR="006632EE" w:rsidRPr="00BA13EC">
        <w:rPr>
          <w:rFonts w:ascii="Times New Roman" w:hAnsi="Times New Roman" w:cs="Times New Roman"/>
          <w:sz w:val="24"/>
          <w:szCs w:val="24"/>
        </w:rPr>
        <w:t xml:space="preserve">parents </w:t>
      </w:r>
      <w:r w:rsidR="00A93902" w:rsidRPr="00BA13EC">
        <w:rPr>
          <w:rFonts w:ascii="Times New Roman" w:hAnsi="Times New Roman" w:cs="Times New Roman"/>
          <w:sz w:val="24"/>
          <w:szCs w:val="24"/>
        </w:rPr>
        <w:t xml:space="preserve">then students </w:t>
      </w:r>
      <w:r w:rsidR="006632EE" w:rsidRPr="00BA13EC">
        <w:rPr>
          <w:rFonts w:ascii="Times New Roman" w:hAnsi="Times New Roman" w:cs="Times New Roman"/>
          <w:sz w:val="24"/>
          <w:szCs w:val="24"/>
        </w:rPr>
        <w:t>for</w:t>
      </w:r>
      <w:r w:rsidR="00C140FB" w:rsidRPr="00BA13EC">
        <w:rPr>
          <w:rFonts w:ascii="Times New Roman" w:hAnsi="Times New Roman" w:cs="Times New Roman"/>
          <w:sz w:val="24"/>
          <w:szCs w:val="24"/>
        </w:rPr>
        <w:t xml:space="preserve"> different educational options. Progression through contemporary educational careers involves making tasteful choices at multiple points. </w:t>
      </w:r>
      <w:r w:rsidRPr="00BA13EC">
        <w:rPr>
          <w:rFonts w:ascii="Times New Roman" w:hAnsi="Times New Roman" w:cs="Times New Roman"/>
          <w:sz w:val="24"/>
          <w:szCs w:val="24"/>
        </w:rPr>
        <w:t>D</w:t>
      </w:r>
      <w:r w:rsidR="006632EE" w:rsidRPr="00BA13EC">
        <w:rPr>
          <w:rFonts w:ascii="Times New Roman" w:hAnsi="Times New Roman" w:cs="Times New Roman"/>
          <w:sz w:val="24"/>
          <w:szCs w:val="24"/>
        </w:rPr>
        <w:t>istinction</w:t>
      </w:r>
      <w:r w:rsidR="00A93902" w:rsidRPr="00BA13EC">
        <w:rPr>
          <w:rFonts w:ascii="Times New Roman" w:hAnsi="Times New Roman" w:cs="Times New Roman"/>
          <w:sz w:val="24"/>
          <w:szCs w:val="24"/>
        </w:rPr>
        <w:t xml:space="preserve">, originally developed as a way to explain </w:t>
      </w:r>
      <w:r w:rsidR="000E03C9" w:rsidRPr="00BA13EC">
        <w:rPr>
          <w:rFonts w:ascii="Times New Roman" w:hAnsi="Times New Roman" w:cs="Times New Roman"/>
          <w:sz w:val="24"/>
          <w:szCs w:val="24"/>
        </w:rPr>
        <w:t>preferences of consumption in cultural fields</w:t>
      </w:r>
      <w:r w:rsidRPr="00BA13EC">
        <w:rPr>
          <w:rFonts w:ascii="Times New Roman" w:hAnsi="Times New Roman" w:cs="Times New Roman"/>
          <w:sz w:val="24"/>
          <w:szCs w:val="24"/>
        </w:rPr>
        <w:t>,</w:t>
      </w:r>
      <w:r w:rsidR="006632EE" w:rsidRPr="00BA13EC">
        <w:rPr>
          <w:rFonts w:ascii="Times New Roman" w:hAnsi="Times New Roman" w:cs="Times New Roman"/>
          <w:sz w:val="24"/>
          <w:szCs w:val="24"/>
        </w:rPr>
        <w:t xml:space="preserve"> </w:t>
      </w:r>
      <w:r w:rsidR="00C140FB" w:rsidRPr="00BA13EC">
        <w:rPr>
          <w:rFonts w:ascii="Times New Roman" w:hAnsi="Times New Roman" w:cs="Times New Roman"/>
          <w:sz w:val="24"/>
          <w:szCs w:val="24"/>
        </w:rPr>
        <w:t xml:space="preserve">might in the current world of </w:t>
      </w:r>
      <w:r w:rsidR="00405A72" w:rsidRPr="00BA13EC">
        <w:rPr>
          <w:rFonts w:ascii="Times New Roman" w:hAnsi="Times New Roman" w:cs="Times New Roman"/>
          <w:sz w:val="24"/>
          <w:szCs w:val="24"/>
        </w:rPr>
        <w:t>education</w:t>
      </w:r>
      <w:r w:rsidR="00A97EB3" w:rsidRPr="00BA13EC">
        <w:rPr>
          <w:rFonts w:ascii="Times New Roman" w:hAnsi="Times New Roman" w:cs="Times New Roman"/>
          <w:sz w:val="24"/>
          <w:szCs w:val="24"/>
        </w:rPr>
        <w:t xml:space="preserve"> be viewed as a</w:t>
      </w:r>
      <w:r w:rsidR="006632EE" w:rsidRPr="00BA13EC">
        <w:rPr>
          <w:rFonts w:ascii="Times New Roman" w:hAnsi="Times New Roman" w:cs="Times New Roman"/>
          <w:sz w:val="24"/>
          <w:szCs w:val="24"/>
        </w:rPr>
        <w:t xml:space="preserve"> mechanism for </w:t>
      </w:r>
      <w:r w:rsidR="00E01D4C" w:rsidRPr="00BA13EC">
        <w:rPr>
          <w:rFonts w:ascii="Times New Roman" w:hAnsi="Times New Roman" w:cs="Times New Roman"/>
          <w:sz w:val="24"/>
          <w:szCs w:val="24"/>
        </w:rPr>
        <w:t xml:space="preserve">understanding </w:t>
      </w:r>
      <w:r w:rsidR="0053412F" w:rsidRPr="00BA13EC">
        <w:rPr>
          <w:rFonts w:ascii="Times New Roman" w:hAnsi="Times New Roman" w:cs="Times New Roman"/>
          <w:sz w:val="24"/>
          <w:szCs w:val="24"/>
        </w:rPr>
        <w:t xml:space="preserve">changes in </w:t>
      </w:r>
      <w:r w:rsidR="006632EE" w:rsidRPr="00BA13EC">
        <w:rPr>
          <w:rFonts w:ascii="Times New Roman" w:hAnsi="Times New Roman" w:cs="Times New Roman"/>
          <w:sz w:val="24"/>
          <w:szCs w:val="24"/>
        </w:rPr>
        <w:t xml:space="preserve">the fields of education, and particularly in relation to </w:t>
      </w:r>
      <w:r w:rsidR="0053412F" w:rsidRPr="00BA13EC">
        <w:rPr>
          <w:rFonts w:ascii="Times New Roman" w:hAnsi="Times New Roman" w:cs="Times New Roman"/>
          <w:sz w:val="24"/>
          <w:szCs w:val="24"/>
        </w:rPr>
        <w:t xml:space="preserve">changes about </w:t>
      </w:r>
      <w:r w:rsidR="00C140FB" w:rsidRPr="00BA13EC">
        <w:rPr>
          <w:rFonts w:ascii="Times New Roman" w:hAnsi="Times New Roman" w:cs="Times New Roman"/>
          <w:sz w:val="24"/>
          <w:szCs w:val="24"/>
        </w:rPr>
        <w:t>the pathways</w:t>
      </w:r>
      <w:r w:rsidR="006632EE" w:rsidRPr="00BA13EC">
        <w:rPr>
          <w:rFonts w:ascii="Times New Roman" w:hAnsi="Times New Roman" w:cs="Times New Roman"/>
          <w:sz w:val="24"/>
          <w:szCs w:val="24"/>
        </w:rPr>
        <w:t xml:space="preserve"> of students from school education to vocational or higher education.</w:t>
      </w:r>
    </w:p>
    <w:p w:rsidR="00945766" w:rsidRPr="00BA13EC" w:rsidRDefault="00945766" w:rsidP="000B2D7A">
      <w:pPr>
        <w:jc w:val="both"/>
        <w:rPr>
          <w:rFonts w:ascii="Times New Roman" w:hAnsi="Times New Roman" w:cs="Times New Roman"/>
          <w:sz w:val="24"/>
          <w:szCs w:val="24"/>
        </w:rPr>
      </w:pPr>
      <w:r w:rsidRPr="00BA13EC">
        <w:rPr>
          <w:rFonts w:ascii="Times New Roman" w:hAnsi="Times New Roman" w:cs="Times New Roman"/>
          <w:sz w:val="24"/>
          <w:szCs w:val="24"/>
        </w:rPr>
        <w:t>Opposed to Bourdieu’s fundamental intuition that such taste is socially acquired, governments have accepted a more Kantian, absolute position about TAFE degrees, and suggested that the taste that some people develop for such degrees is natural and the right judgment for people aspiring to specific vocations.</w:t>
      </w:r>
      <w:r w:rsidRPr="00BA13EC">
        <w:rPr>
          <w:rFonts w:ascii="Times New Roman" w:hAnsi="Times New Roman" w:cs="Times New Roman"/>
          <w:sz w:val="24"/>
          <w:szCs w:val="24"/>
          <w:vertAlign w:val="superscript"/>
        </w:rPr>
        <w:footnoteReference w:id="1"/>
      </w:r>
      <w:r w:rsidRPr="00BA13EC">
        <w:rPr>
          <w:rFonts w:ascii="Times New Roman" w:hAnsi="Times New Roman" w:cs="Times New Roman"/>
          <w:sz w:val="24"/>
          <w:szCs w:val="24"/>
        </w:rPr>
        <w:t xml:space="preserve"> The taste associated with choosing TAFE degrees is then distinctive and right in relation to vocational alignment. The potential consequence of the widening of VET institutions offerings to include degrees is that instead of bringing new students, it may in fact draw students away from VET qualifications located in the VET field into the higher education field. In contrast, the higher education field maintained its autonomy initially, and upheld an academic, professional and research led approach to its qualifications, weighting these priorities evenly alongside vocational requirements. Successive governments have chipped away at aspects of this autonomy, and of the necessity of particular academic and research priorities in preparation for some vocations.</w:t>
      </w:r>
      <w:r w:rsidRPr="00BA13EC">
        <w:rPr>
          <w:rFonts w:ascii="Times New Roman" w:hAnsi="Times New Roman" w:cs="Times New Roman"/>
          <w:sz w:val="24"/>
          <w:szCs w:val="24"/>
          <w:vertAlign w:val="superscript"/>
        </w:rPr>
        <w:footnoteReference w:id="2"/>
      </w:r>
      <w:r w:rsidRPr="00BA13EC">
        <w:rPr>
          <w:rFonts w:ascii="Times New Roman" w:hAnsi="Times New Roman" w:cs="Times New Roman"/>
          <w:sz w:val="24"/>
          <w:szCs w:val="24"/>
        </w:rPr>
        <w:t xml:space="preserve"> This raised an unsettling question about the alignment between some university degrees and their links to vocations and industry. The periodic governmental intervention into university degree courses suggested that the link between some universities and vocations was an ongoing policy problem, particularly in light of the Government’s commitment to ‘work ready’ university graduates. The offerings of VET institutions and universities are marked by this difference in the form of reproduction by which they are guided. The different form of reproduction offered by VET degrees may indeed offer a point of distinction for TAFE institutes in the widening of access to higher education fields by successive governments.</w:t>
      </w:r>
    </w:p>
    <w:p w:rsidR="00273D1E" w:rsidRPr="00BA13EC" w:rsidRDefault="00A97EB3" w:rsidP="000B2D7A">
      <w:pPr>
        <w:jc w:val="both"/>
        <w:rPr>
          <w:rFonts w:ascii="Times New Roman" w:hAnsi="Times New Roman" w:cs="Times New Roman"/>
          <w:sz w:val="24"/>
          <w:szCs w:val="24"/>
        </w:rPr>
      </w:pPr>
      <w:r w:rsidRPr="00BA13EC">
        <w:rPr>
          <w:rFonts w:ascii="Times New Roman" w:hAnsi="Times New Roman" w:cs="Times New Roman"/>
          <w:sz w:val="24"/>
          <w:szCs w:val="24"/>
        </w:rPr>
        <w:t>To summarise</w:t>
      </w:r>
      <w:r w:rsidR="008F3401" w:rsidRPr="00BA13EC">
        <w:rPr>
          <w:rFonts w:ascii="Times New Roman" w:hAnsi="Times New Roman" w:cs="Times New Roman"/>
          <w:sz w:val="24"/>
          <w:szCs w:val="24"/>
        </w:rPr>
        <w:t xml:space="preserve">, the shaping of higher education into markets necessitated the development of taste for academic qualifications offered by different universities, and was accompanied by the emergence of distinction within the </w:t>
      </w:r>
      <w:r w:rsidR="00C140FB" w:rsidRPr="00BA13EC">
        <w:rPr>
          <w:rFonts w:ascii="Times New Roman" w:hAnsi="Times New Roman" w:cs="Times New Roman"/>
          <w:sz w:val="24"/>
          <w:szCs w:val="24"/>
        </w:rPr>
        <w:t>higher education</w:t>
      </w:r>
      <w:r w:rsidR="008F3401" w:rsidRPr="00BA13EC">
        <w:rPr>
          <w:rFonts w:ascii="Times New Roman" w:hAnsi="Times New Roman" w:cs="Times New Roman"/>
          <w:sz w:val="24"/>
          <w:szCs w:val="24"/>
        </w:rPr>
        <w:t xml:space="preserve"> field. Likewise, the parallel shaping of VET into markets was also accompanied by the development of taste for vocational qualifications, and accompanied by the emergence of distinction within the VET field. The argument here is that the parallel pathways of </w:t>
      </w:r>
      <w:r w:rsidR="00C140FB" w:rsidRPr="00BA13EC">
        <w:rPr>
          <w:rFonts w:ascii="Times New Roman" w:hAnsi="Times New Roman" w:cs="Times New Roman"/>
          <w:sz w:val="24"/>
          <w:szCs w:val="24"/>
        </w:rPr>
        <w:t>higher education</w:t>
      </w:r>
      <w:r w:rsidR="008F3401" w:rsidRPr="00BA13EC">
        <w:rPr>
          <w:rFonts w:ascii="Times New Roman" w:hAnsi="Times New Roman" w:cs="Times New Roman"/>
          <w:sz w:val="24"/>
          <w:szCs w:val="24"/>
        </w:rPr>
        <w:t xml:space="preserve"> and VET fields have produced two different modes of distinction. </w:t>
      </w:r>
      <w:r w:rsidR="00A560EC" w:rsidRPr="00BA13EC">
        <w:rPr>
          <w:rFonts w:ascii="Times New Roman" w:hAnsi="Times New Roman" w:cs="Times New Roman"/>
          <w:sz w:val="24"/>
          <w:szCs w:val="24"/>
        </w:rPr>
        <w:t xml:space="preserve">Widening of the </w:t>
      </w:r>
      <w:r w:rsidR="00C140FB" w:rsidRPr="00BA13EC">
        <w:rPr>
          <w:rFonts w:ascii="Times New Roman" w:hAnsi="Times New Roman" w:cs="Times New Roman"/>
          <w:sz w:val="24"/>
          <w:szCs w:val="24"/>
        </w:rPr>
        <w:t>higher education</w:t>
      </w:r>
      <w:r w:rsidR="00A560EC" w:rsidRPr="00BA13EC">
        <w:rPr>
          <w:rFonts w:ascii="Times New Roman" w:hAnsi="Times New Roman" w:cs="Times New Roman"/>
          <w:sz w:val="24"/>
          <w:szCs w:val="24"/>
        </w:rPr>
        <w:t xml:space="preserve"> </w:t>
      </w:r>
      <w:r w:rsidR="00D86EBC" w:rsidRPr="00BA13EC">
        <w:rPr>
          <w:rFonts w:ascii="Times New Roman" w:hAnsi="Times New Roman" w:cs="Times New Roman"/>
          <w:sz w:val="24"/>
          <w:szCs w:val="24"/>
        </w:rPr>
        <w:t xml:space="preserve">field </w:t>
      </w:r>
      <w:r w:rsidR="00631DA6" w:rsidRPr="00BA13EC">
        <w:rPr>
          <w:rFonts w:ascii="Times New Roman" w:hAnsi="Times New Roman" w:cs="Times New Roman"/>
          <w:sz w:val="24"/>
          <w:szCs w:val="24"/>
        </w:rPr>
        <w:t xml:space="preserve">to </w:t>
      </w:r>
      <w:r w:rsidR="00631DA6" w:rsidRPr="00BA13EC">
        <w:rPr>
          <w:rFonts w:ascii="Times New Roman" w:hAnsi="Times New Roman" w:cs="Times New Roman"/>
          <w:sz w:val="24"/>
          <w:szCs w:val="24"/>
        </w:rPr>
        <w:lastRenderedPageBreak/>
        <w:t>include TAFE degrees</w:t>
      </w:r>
      <w:r w:rsidR="00A560EC" w:rsidRPr="00BA13EC">
        <w:rPr>
          <w:rFonts w:ascii="Times New Roman" w:hAnsi="Times New Roman" w:cs="Times New Roman"/>
          <w:sz w:val="24"/>
          <w:szCs w:val="24"/>
        </w:rPr>
        <w:t xml:space="preserve"> then introduces two fundamentally divergent accounts of what is distinctive and tasteful</w:t>
      </w:r>
      <w:r w:rsidR="00D86EBC" w:rsidRPr="00BA13EC">
        <w:rPr>
          <w:rFonts w:ascii="Times New Roman" w:hAnsi="Times New Roman" w:cs="Times New Roman"/>
          <w:sz w:val="24"/>
          <w:szCs w:val="24"/>
        </w:rPr>
        <w:t xml:space="preserve"> in choices of </w:t>
      </w:r>
      <w:r w:rsidR="00C140FB" w:rsidRPr="00BA13EC">
        <w:rPr>
          <w:rFonts w:ascii="Times New Roman" w:hAnsi="Times New Roman" w:cs="Times New Roman"/>
          <w:sz w:val="24"/>
          <w:szCs w:val="24"/>
        </w:rPr>
        <w:t>higher education</w:t>
      </w:r>
      <w:r w:rsidR="00D86EBC" w:rsidRPr="00BA13EC">
        <w:rPr>
          <w:rFonts w:ascii="Times New Roman" w:hAnsi="Times New Roman" w:cs="Times New Roman"/>
          <w:sz w:val="24"/>
          <w:szCs w:val="24"/>
        </w:rPr>
        <w:t xml:space="preserve"> offerings</w:t>
      </w:r>
      <w:r w:rsidR="00BB5595" w:rsidRPr="00BA13EC">
        <w:rPr>
          <w:rFonts w:ascii="Times New Roman" w:hAnsi="Times New Roman" w:cs="Times New Roman"/>
          <w:sz w:val="24"/>
          <w:szCs w:val="24"/>
        </w:rPr>
        <w:t xml:space="preserve">, what we call here two </w:t>
      </w:r>
      <w:r w:rsidR="00631DA6" w:rsidRPr="00BA13EC">
        <w:rPr>
          <w:rFonts w:ascii="Times New Roman" w:hAnsi="Times New Roman" w:cs="Times New Roman"/>
          <w:sz w:val="24"/>
          <w:szCs w:val="24"/>
        </w:rPr>
        <w:t>‘</w:t>
      </w:r>
      <w:r w:rsidR="00BB5595" w:rsidRPr="00BA13EC">
        <w:rPr>
          <w:rFonts w:ascii="Times New Roman" w:hAnsi="Times New Roman" w:cs="Times New Roman"/>
          <w:sz w:val="24"/>
          <w:szCs w:val="24"/>
        </w:rPr>
        <w:t>modes</w:t>
      </w:r>
      <w:r w:rsidR="00631DA6" w:rsidRPr="00BA13EC">
        <w:rPr>
          <w:rFonts w:ascii="Times New Roman" w:hAnsi="Times New Roman" w:cs="Times New Roman"/>
          <w:sz w:val="24"/>
          <w:szCs w:val="24"/>
        </w:rPr>
        <w:t>’</w:t>
      </w:r>
      <w:r w:rsidR="00BB5595" w:rsidRPr="00BA13EC">
        <w:rPr>
          <w:rFonts w:ascii="Times New Roman" w:hAnsi="Times New Roman" w:cs="Times New Roman"/>
          <w:sz w:val="24"/>
          <w:szCs w:val="24"/>
        </w:rPr>
        <w:t xml:space="preserve"> of distinction</w:t>
      </w:r>
      <w:r w:rsidR="00D86EBC" w:rsidRPr="00BA13EC">
        <w:rPr>
          <w:rFonts w:ascii="Times New Roman" w:hAnsi="Times New Roman" w:cs="Times New Roman"/>
          <w:sz w:val="24"/>
          <w:szCs w:val="24"/>
        </w:rPr>
        <w:t>.</w:t>
      </w:r>
      <w:r w:rsidR="008F3401" w:rsidRPr="00BA13EC">
        <w:rPr>
          <w:rFonts w:ascii="Times New Roman" w:hAnsi="Times New Roman" w:cs="Times New Roman"/>
          <w:sz w:val="24"/>
          <w:szCs w:val="24"/>
        </w:rPr>
        <w:t xml:space="preserve"> VET degrees are aligned to a particular vocational taste and palette shaped by a vocational mode of distinction not encountered in the </w:t>
      </w:r>
      <w:r w:rsidR="00C140FB" w:rsidRPr="00BA13EC">
        <w:rPr>
          <w:rFonts w:ascii="Times New Roman" w:hAnsi="Times New Roman" w:cs="Times New Roman"/>
          <w:sz w:val="24"/>
          <w:szCs w:val="24"/>
        </w:rPr>
        <w:t>higher education</w:t>
      </w:r>
      <w:r w:rsidR="008F3401" w:rsidRPr="00BA13EC">
        <w:rPr>
          <w:rFonts w:ascii="Times New Roman" w:hAnsi="Times New Roman" w:cs="Times New Roman"/>
          <w:sz w:val="24"/>
          <w:szCs w:val="24"/>
        </w:rPr>
        <w:t xml:space="preserve"> field.</w:t>
      </w:r>
      <w:r w:rsidR="00D86EBC" w:rsidRPr="00BA13EC">
        <w:rPr>
          <w:rFonts w:ascii="Times New Roman" w:hAnsi="Times New Roman" w:cs="Times New Roman"/>
          <w:sz w:val="24"/>
          <w:szCs w:val="24"/>
        </w:rPr>
        <w:t xml:space="preserve"> </w:t>
      </w:r>
      <w:r w:rsidR="000E03C9" w:rsidRPr="00BA13EC">
        <w:rPr>
          <w:rFonts w:ascii="Times New Roman" w:hAnsi="Times New Roman" w:cs="Times New Roman"/>
          <w:sz w:val="24"/>
          <w:szCs w:val="24"/>
        </w:rPr>
        <w:t xml:space="preserve"> </w:t>
      </w:r>
      <w:r w:rsidR="00D86EBC" w:rsidRPr="00BA13EC">
        <w:rPr>
          <w:rFonts w:ascii="Times New Roman" w:hAnsi="Times New Roman" w:cs="Times New Roman"/>
          <w:sz w:val="24"/>
          <w:szCs w:val="24"/>
        </w:rPr>
        <w:t xml:space="preserve">Both </w:t>
      </w:r>
      <w:r w:rsidR="008F3401" w:rsidRPr="00BA13EC">
        <w:rPr>
          <w:rFonts w:ascii="Times New Roman" w:hAnsi="Times New Roman" w:cs="Times New Roman"/>
          <w:sz w:val="24"/>
          <w:szCs w:val="24"/>
        </w:rPr>
        <w:t xml:space="preserve">modes of distinction </w:t>
      </w:r>
      <w:r w:rsidR="00D86EBC" w:rsidRPr="00BA13EC">
        <w:rPr>
          <w:rFonts w:ascii="Times New Roman" w:hAnsi="Times New Roman" w:cs="Times New Roman"/>
          <w:sz w:val="24"/>
          <w:szCs w:val="24"/>
        </w:rPr>
        <w:t>offer models of reproduction, but the mechanisms of this reproduction differ widely.</w:t>
      </w:r>
      <w:r w:rsidR="002915F2" w:rsidRPr="00BA13EC">
        <w:rPr>
          <w:rFonts w:ascii="Times New Roman" w:hAnsi="Times New Roman" w:cs="Times New Roman"/>
          <w:sz w:val="24"/>
          <w:szCs w:val="24"/>
        </w:rPr>
        <w:t xml:space="preserve"> There have been separate schemes of judgement applied</w:t>
      </w:r>
      <w:r w:rsidR="00D86EBC" w:rsidRPr="00BA13EC">
        <w:rPr>
          <w:rFonts w:ascii="Times New Roman" w:hAnsi="Times New Roman" w:cs="Times New Roman"/>
          <w:sz w:val="24"/>
          <w:szCs w:val="24"/>
        </w:rPr>
        <w:t xml:space="preserve"> </w:t>
      </w:r>
      <w:r w:rsidR="002915F2" w:rsidRPr="00BA13EC">
        <w:rPr>
          <w:rFonts w:ascii="Times New Roman" w:hAnsi="Times New Roman" w:cs="Times New Roman"/>
          <w:sz w:val="24"/>
          <w:szCs w:val="24"/>
        </w:rPr>
        <w:t xml:space="preserve">to the value of these mechanisms of reproduction, and different tastes. In the </w:t>
      </w:r>
      <w:r w:rsidR="002C437B" w:rsidRPr="00BA13EC">
        <w:rPr>
          <w:rFonts w:ascii="Times New Roman" w:hAnsi="Times New Roman" w:cs="Times New Roman"/>
          <w:sz w:val="24"/>
          <w:szCs w:val="24"/>
        </w:rPr>
        <w:t xml:space="preserve">acceptance of </w:t>
      </w:r>
      <w:r w:rsidR="002915F2" w:rsidRPr="00BA13EC">
        <w:rPr>
          <w:rFonts w:ascii="Times New Roman" w:hAnsi="Times New Roman" w:cs="Times New Roman"/>
          <w:sz w:val="24"/>
          <w:szCs w:val="24"/>
        </w:rPr>
        <w:t>TAFE degrees</w:t>
      </w:r>
      <w:r w:rsidR="002C437B" w:rsidRPr="00BA13EC">
        <w:rPr>
          <w:rFonts w:ascii="Times New Roman" w:hAnsi="Times New Roman" w:cs="Times New Roman"/>
          <w:sz w:val="24"/>
          <w:szCs w:val="24"/>
        </w:rPr>
        <w:t xml:space="preserve"> in </w:t>
      </w:r>
      <w:r w:rsidR="00C140FB" w:rsidRPr="00BA13EC">
        <w:rPr>
          <w:rFonts w:ascii="Times New Roman" w:hAnsi="Times New Roman" w:cs="Times New Roman"/>
          <w:sz w:val="24"/>
          <w:szCs w:val="24"/>
        </w:rPr>
        <w:t>higher education</w:t>
      </w:r>
      <w:r w:rsidR="002915F2" w:rsidRPr="00BA13EC">
        <w:rPr>
          <w:rFonts w:ascii="Times New Roman" w:hAnsi="Times New Roman" w:cs="Times New Roman"/>
          <w:sz w:val="24"/>
          <w:szCs w:val="24"/>
        </w:rPr>
        <w:t xml:space="preserve">, governments have assumed that such degrees fill a void in degree offerings, and that students whose taste aligns with </w:t>
      </w:r>
      <w:r w:rsidR="002C437B" w:rsidRPr="00BA13EC">
        <w:rPr>
          <w:rFonts w:ascii="Times New Roman" w:hAnsi="Times New Roman" w:cs="Times New Roman"/>
          <w:sz w:val="24"/>
          <w:szCs w:val="24"/>
        </w:rPr>
        <w:t xml:space="preserve">such offerings will be then drawn to degrees where they would not necessarily have seen a viable choice. This argument assumes, however, that there is a static and </w:t>
      </w:r>
      <w:r w:rsidR="000E03C9" w:rsidRPr="00BA13EC">
        <w:rPr>
          <w:rFonts w:ascii="Times New Roman" w:hAnsi="Times New Roman" w:cs="Times New Roman"/>
          <w:sz w:val="24"/>
          <w:szCs w:val="24"/>
        </w:rPr>
        <w:t xml:space="preserve">distinct </w:t>
      </w:r>
      <w:r w:rsidR="002C437B" w:rsidRPr="00BA13EC">
        <w:rPr>
          <w:rFonts w:ascii="Times New Roman" w:hAnsi="Times New Roman" w:cs="Times New Roman"/>
          <w:sz w:val="24"/>
          <w:szCs w:val="24"/>
        </w:rPr>
        <w:t xml:space="preserve">taste in students towards </w:t>
      </w:r>
      <w:r w:rsidR="00C140FB" w:rsidRPr="00BA13EC">
        <w:rPr>
          <w:rFonts w:ascii="Times New Roman" w:hAnsi="Times New Roman" w:cs="Times New Roman"/>
          <w:sz w:val="24"/>
          <w:szCs w:val="24"/>
        </w:rPr>
        <w:t>higher education</w:t>
      </w:r>
      <w:r w:rsidR="000E03C9" w:rsidRPr="00BA13EC">
        <w:rPr>
          <w:rFonts w:ascii="Times New Roman" w:hAnsi="Times New Roman" w:cs="Times New Roman"/>
          <w:sz w:val="24"/>
          <w:szCs w:val="24"/>
        </w:rPr>
        <w:t xml:space="preserve"> qualifications</w:t>
      </w:r>
      <w:r w:rsidR="002C437B" w:rsidRPr="00BA13EC">
        <w:rPr>
          <w:rFonts w:ascii="Times New Roman" w:hAnsi="Times New Roman" w:cs="Times New Roman"/>
          <w:sz w:val="24"/>
          <w:szCs w:val="24"/>
        </w:rPr>
        <w:t>.</w:t>
      </w:r>
      <w:r w:rsidR="00E155B4" w:rsidRPr="00BA13EC">
        <w:rPr>
          <w:rFonts w:ascii="Times New Roman" w:hAnsi="Times New Roman" w:cs="Times New Roman"/>
          <w:sz w:val="24"/>
          <w:szCs w:val="24"/>
        </w:rPr>
        <w:t xml:space="preserve"> However, drawing on the insights of Bourdieu, </w:t>
      </w:r>
      <w:r w:rsidR="002C437B" w:rsidRPr="00BA13EC">
        <w:rPr>
          <w:rFonts w:ascii="Times New Roman" w:hAnsi="Times New Roman" w:cs="Times New Roman"/>
          <w:sz w:val="24"/>
          <w:szCs w:val="24"/>
        </w:rPr>
        <w:t xml:space="preserve">in bringing VET degrees into the </w:t>
      </w:r>
      <w:r w:rsidR="00C140FB" w:rsidRPr="00BA13EC">
        <w:rPr>
          <w:rFonts w:ascii="Times New Roman" w:hAnsi="Times New Roman" w:cs="Times New Roman"/>
          <w:sz w:val="24"/>
          <w:szCs w:val="24"/>
        </w:rPr>
        <w:t>higher education</w:t>
      </w:r>
      <w:r w:rsidR="002C437B" w:rsidRPr="00BA13EC">
        <w:rPr>
          <w:rFonts w:ascii="Times New Roman" w:hAnsi="Times New Roman" w:cs="Times New Roman"/>
          <w:sz w:val="24"/>
          <w:szCs w:val="24"/>
        </w:rPr>
        <w:t xml:space="preserve"> field, the natu</w:t>
      </w:r>
      <w:r w:rsidR="000F6CBA" w:rsidRPr="00BA13EC">
        <w:rPr>
          <w:rFonts w:ascii="Times New Roman" w:hAnsi="Times New Roman" w:cs="Times New Roman"/>
          <w:sz w:val="24"/>
          <w:szCs w:val="24"/>
        </w:rPr>
        <w:t>r</w:t>
      </w:r>
      <w:r w:rsidR="002C437B" w:rsidRPr="00BA13EC">
        <w:rPr>
          <w:rFonts w:ascii="Times New Roman" w:hAnsi="Times New Roman" w:cs="Times New Roman"/>
          <w:sz w:val="24"/>
          <w:szCs w:val="24"/>
        </w:rPr>
        <w:t>e of the field, and all those choosing degrees</w:t>
      </w:r>
      <w:r w:rsidR="000F6CBA" w:rsidRPr="00BA13EC">
        <w:rPr>
          <w:rFonts w:ascii="Times New Roman" w:hAnsi="Times New Roman" w:cs="Times New Roman"/>
          <w:sz w:val="24"/>
          <w:szCs w:val="24"/>
        </w:rPr>
        <w:t>,</w:t>
      </w:r>
      <w:r w:rsidR="002C437B" w:rsidRPr="00BA13EC">
        <w:rPr>
          <w:rFonts w:ascii="Times New Roman" w:hAnsi="Times New Roman" w:cs="Times New Roman"/>
          <w:sz w:val="24"/>
          <w:szCs w:val="24"/>
        </w:rPr>
        <w:t xml:space="preserve"> will be altered.</w:t>
      </w:r>
      <w:r w:rsidR="00E155B4" w:rsidRPr="00BA13EC">
        <w:rPr>
          <w:rFonts w:ascii="Times New Roman" w:hAnsi="Times New Roman" w:cs="Times New Roman"/>
          <w:sz w:val="24"/>
          <w:szCs w:val="24"/>
        </w:rPr>
        <w:t xml:space="preserve"> Distinct modes of distinction will now offer different potential structures to the field of </w:t>
      </w:r>
      <w:r w:rsidR="00C140FB" w:rsidRPr="00BA13EC">
        <w:rPr>
          <w:rFonts w:ascii="Times New Roman" w:hAnsi="Times New Roman" w:cs="Times New Roman"/>
          <w:sz w:val="24"/>
          <w:szCs w:val="24"/>
        </w:rPr>
        <w:t>higher education</w:t>
      </w:r>
      <w:r w:rsidR="00E155B4" w:rsidRPr="00BA13EC">
        <w:rPr>
          <w:rFonts w:ascii="Times New Roman" w:hAnsi="Times New Roman" w:cs="Times New Roman"/>
          <w:sz w:val="24"/>
          <w:szCs w:val="24"/>
        </w:rPr>
        <w:t>.</w:t>
      </w:r>
      <w:r w:rsidR="002C437B" w:rsidRPr="00BA13EC">
        <w:rPr>
          <w:rFonts w:ascii="Times New Roman" w:hAnsi="Times New Roman" w:cs="Times New Roman"/>
          <w:sz w:val="24"/>
          <w:szCs w:val="24"/>
        </w:rPr>
        <w:t xml:space="preserve">  That, in effect, the new tastes being satisfied by TAFE degrees might also become tasteful for a much wider range of students. The distinctiveness of TAFE degrees, and their potential accessibility if CSP are available, may act to change the whole </w:t>
      </w:r>
      <w:r w:rsidR="00C140FB" w:rsidRPr="00BA13EC">
        <w:rPr>
          <w:rFonts w:ascii="Times New Roman" w:hAnsi="Times New Roman" w:cs="Times New Roman"/>
          <w:sz w:val="24"/>
          <w:szCs w:val="24"/>
        </w:rPr>
        <w:t>higher education</w:t>
      </w:r>
      <w:r w:rsidR="002C437B" w:rsidRPr="00BA13EC">
        <w:rPr>
          <w:rFonts w:ascii="Times New Roman" w:hAnsi="Times New Roman" w:cs="Times New Roman"/>
          <w:sz w:val="24"/>
          <w:szCs w:val="24"/>
        </w:rPr>
        <w:t xml:space="preserve"> field.  The question then is how messages about TAFE degrees may come to signify taste to students considering entering the field</w:t>
      </w:r>
      <w:r w:rsidR="00E155B4" w:rsidRPr="00BA13EC">
        <w:rPr>
          <w:rFonts w:ascii="Times New Roman" w:hAnsi="Times New Roman" w:cs="Times New Roman"/>
          <w:sz w:val="24"/>
          <w:szCs w:val="24"/>
        </w:rPr>
        <w:t>.</w:t>
      </w:r>
      <w:r w:rsidR="002C437B" w:rsidRPr="00BA13EC">
        <w:rPr>
          <w:rFonts w:ascii="Times New Roman" w:hAnsi="Times New Roman" w:cs="Times New Roman"/>
          <w:sz w:val="24"/>
          <w:szCs w:val="24"/>
        </w:rPr>
        <w:t xml:space="preserve"> </w:t>
      </w:r>
      <w:r w:rsidR="002A045B" w:rsidRPr="00BA13EC">
        <w:rPr>
          <w:rFonts w:ascii="Times New Roman" w:hAnsi="Times New Roman" w:cs="Times New Roman"/>
          <w:sz w:val="24"/>
          <w:szCs w:val="24"/>
        </w:rPr>
        <w:t>The core argument that this leads to is that the emergence of degrees by TAFEs raise significant questions about how distinctive they are</w:t>
      </w:r>
      <w:r w:rsidR="00E155B4" w:rsidRPr="00BA13EC">
        <w:rPr>
          <w:rFonts w:ascii="Times New Roman" w:hAnsi="Times New Roman" w:cs="Times New Roman"/>
          <w:sz w:val="24"/>
          <w:szCs w:val="24"/>
        </w:rPr>
        <w:t xml:space="preserve"> to students</w:t>
      </w:r>
      <w:r w:rsidR="00E668C5" w:rsidRPr="00BA13EC">
        <w:rPr>
          <w:rFonts w:ascii="Times New Roman" w:hAnsi="Times New Roman" w:cs="Times New Roman"/>
          <w:sz w:val="24"/>
          <w:szCs w:val="24"/>
        </w:rPr>
        <w:t>.</w:t>
      </w:r>
      <w:r w:rsidR="00E155B4" w:rsidRPr="00BA13EC">
        <w:rPr>
          <w:rFonts w:ascii="Times New Roman" w:hAnsi="Times New Roman" w:cs="Times New Roman"/>
          <w:sz w:val="24"/>
          <w:szCs w:val="24"/>
        </w:rPr>
        <w:t xml:space="preserve"> </w:t>
      </w:r>
      <w:r w:rsidR="00273D1E" w:rsidRPr="00BA13EC">
        <w:rPr>
          <w:rFonts w:ascii="Times New Roman" w:hAnsi="Times New Roman" w:cs="Times New Roman"/>
          <w:sz w:val="24"/>
          <w:szCs w:val="24"/>
        </w:rPr>
        <w:t xml:space="preserve">How </w:t>
      </w:r>
      <w:r w:rsidR="00E155B4" w:rsidRPr="00BA13EC">
        <w:rPr>
          <w:rFonts w:ascii="Times New Roman" w:hAnsi="Times New Roman" w:cs="Times New Roman"/>
          <w:sz w:val="24"/>
          <w:szCs w:val="24"/>
        </w:rPr>
        <w:t>might this distinctiveness be conveyed to students?</w:t>
      </w:r>
      <w:r w:rsidR="00974106" w:rsidRPr="00BA13EC">
        <w:rPr>
          <w:rFonts w:ascii="Times New Roman" w:hAnsi="Times New Roman" w:cs="Times New Roman"/>
          <w:sz w:val="24"/>
          <w:szCs w:val="24"/>
        </w:rPr>
        <w:t xml:space="preserve"> While Bourdieu’s arguments provide a broad language to understand the relationship between the distinction offered by TAFE degrees in the field of </w:t>
      </w:r>
      <w:r w:rsidR="00C140FB" w:rsidRPr="00BA13EC">
        <w:rPr>
          <w:rFonts w:ascii="Times New Roman" w:hAnsi="Times New Roman" w:cs="Times New Roman"/>
          <w:sz w:val="24"/>
          <w:szCs w:val="24"/>
        </w:rPr>
        <w:t>higher education</w:t>
      </w:r>
      <w:r w:rsidR="00974106" w:rsidRPr="00BA13EC">
        <w:rPr>
          <w:rFonts w:ascii="Times New Roman" w:hAnsi="Times New Roman" w:cs="Times New Roman"/>
          <w:sz w:val="24"/>
          <w:szCs w:val="24"/>
        </w:rPr>
        <w:t>, these insights might usefully be supplemented by other concepts, such as those offered by Bernstein.</w:t>
      </w:r>
    </w:p>
    <w:p w:rsidR="004C612C" w:rsidRPr="00BA13EC" w:rsidRDefault="004C612C" w:rsidP="000B2D7A">
      <w:pPr>
        <w:jc w:val="both"/>
        <w:rPr>
          <w:rFonts w:ascii="Times New Roman" w:eastAsiaTheme="minorHAnsi" w:hAnsi="Times New Roman" w:cs="Times New Roman"/>
          <w:b/>
          <w:sz w:val="24"/>
          <w:szCs w:val="24"/>
          <w:lang w:eastAsia="en-US"/>
        </w:rPr>
      </w:pPr>
      <w:r w:rsidRPr="00BA13EC">
        <w:rPr>
          <w:rFonts w:ascii="Times New Roman" w:eastAsiaTheme="minorHAnsi" w:hAnsi="Times New Roman" w:cs="Times New Roman"/>
          <w:b/>
          <w:sz w:val="24"/>
          <w:szCs w:val="24"/>
          <w:lang w:eastAsia="en-US"/>
        </w:rPr>
        <w:t xml:space="preserve">The challenge of researching new forms of distinction in </w:t>
      </w:r>
      <w:r w:rsidR="00C140FB" w:rsidRPr="00BA13EC">
        <w:rPr>
          <w:rFonts w:ascii="Times New Roman" w:eastAsiaTheme="minorHAnsi" w:hAnsi="Times New Roman" w:cs="Times New Roman"/>
          <w:b/>
          <w:sz w:val="24"/>
          <w:szCs w:val="24"/>
          <w:lang w:eastAsia="en-US"/>
        </w:rPr>
        <w:t>higher education</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Bringing Bourdieu’s (1984) theory of distinction to bear on </w:t>
      </w:r>
      <w:r w:rsidR="005909E7" w:rsidRPr="00BA13EC">
        <w:rPr>
          <w:rFonts w:ascii="Times New Roman" w:eastAsiaTheme="minorHAnsi" w:hAnsi="Times New Roman" w:cs="Times New Roman"/>
          <w:sz w:val="24"/>
          <w:szCs w:val="24"/>
          <w:lang w:eastAsia="en-US"/>
        </w:rPr>
        <w:t xml:space="preserve">the question of </w:t>
      </w:r>
      <w:r w:rsidRPr="00BA13EC">
        <w:rPr>
          <w:rFonts w:ascii="Times New Roman" w:eastAsiaTheme="minorHAnsi" w:hAnsi="Times New Roman" w:cs="Times New Roman"/>
          <w:sz w:val="24"/>
          <w:szCs w:val="24"/>
          <w:lang w:eastAsia="en-US"/>
        </w:rPr>
        <w:t>preferences for types of higher education institution and higher education qualification stri</w:t>
      </w:r>
      <w:r w:rsidR="005909E7" w:rsidRPr="00BA13EC">
        <w:rPr>
          <w:rFonts w:ascii="Times New Roman" w:eastAsiaTheme="minorHAnsi" w:hAnsi="Times New Roman" w:cs="Times New Roman"/>
          <w:sz w:val="24"/>
          <w:szCs w:val="24"/>
          <w:lang w:eastAsia="en-US"/>
        </w:rPr>
        <w:t>kes an apparent</w:t>
      </w:r>
      <w:r w:rsidRPr="00BA13EC">
        <w:rPr>
          <w:rFonts w:ascii="Times New Roman" w:eastAsiaTheme="minorHAnsi" w:hAnsi="Times New Roman" w:cs="Times New Roman"/>
          <w:sz w:val="24"/>
          <w:szCs w:val="24"/>
          <w:lang w:eastAsia="en-US"/>
        </w:rPr>
        <w:t xml:space="preserve"> difficulty in the dissimilarity between higher education and art. Bourdieu’s theory requires artefacts that can be effectively analysed in terms of </w:t>
      </w:r>
      <w:r w:rsidRPr="00BA13EC">
        <w:rPr>
          <w:rFonts w:ascii="Times New Roman" w:eastAsiaTheme="minorHAnsi" w:hAnsi="Times New Roman" w:cs="Times New Roman"/>
          <w:i/>
          <w:sz w:val="24"/>
          <w:szCs w:val="24"/>
          <w:lang w:eastAsia="en-US"/>
        </w:rPr>
        <w:t>representations and objects</w:t>
      </w:r>
      <w:r w:rsidRPr="00BA13EC">
        <w:rPr>
          <w:rFonts w:ascii="Times New Roman" w:eastAsiaTheme="minorHAnsi" w:hAnsi="Times New Roman" w:cs="Times New Roman"/>
          <w:sz w:val="24"/>
          <w:szCs w:val="24"/>
          <w:lang w:eastAsia="en-US"/>
        </w:rPr>
        <w:t>. It was explained above that his own analysis of education focused rather on its role in the reproduction of social structures. But in an era of marketised education, the fluidity of preferences invites a different theoretical framework, one that acknowledges a dimension of ‘taste’ for understanding decisions to invest in education. We turn to the work of Bernstein (1975) for the tools to approach higher education as a field in which the analysis in terms of taste can gain traction. In his sociology, Bernstein dealt with reproduction, but he envisaged a situation in which the ‘signalling’ function of education was an important factor in teasing out its role in reproduction. Bernstein drew on the conceptual tools of communications theory and his sociology of education often employs the language of ‘transmissions’, ‘messages’, ‘signs’ and ‘symbols’</w:t>
      </w:r>
      <w:r w:rsidR="00051355" w:rsidRPr="00BA13EC">
        <w:rPr>
          <w:rFonts w:ascii="Times New Roman" w:eastAsiaTheme="minorHAnsi" w:hAnsi="Times New Roman" w:cs="Times New Roman"/>
          <w:sz w:val="24"/>
          <w:szCs w:val="24"/>
          <w:lang w:eastAsia="en-US"/>
        </w:rPr>
        <w:t xml:space="preserve"> giving rise to what Atkinson (1985) described as</w:t>
      </w:r>
      <w:r w:rsidR="00F85662" w:rsidRPr="00BA13EC">
        <w:rPr>
          <w:rFonts w:ascii="Times New Roman" w:eastAsiaTheme="minorHAnsi" w:hAnsi="Times New Roman" w:cs="Times New Roman"/>
          <w:sz w:val="24"/>
          <w:szCs w:val="24"/>
          <w:lang w:eastAsia="en-US"/>
        </w:rPr>
        <w:t xml:space="preserve"> the ‘semiological’ nature of B</w:t>
      </w:r>
      <w:r w:rsidR="00051355" w:rsidRPr="00BA13EC">
        <w:rPr>
          <w:rFonts w:ascii="Times New Roman" w:eastAsiaTheme="minorHAnsi" w:hAnsi="Times New Roman" w:cs="Times New Roman"/>
          <w:sz w:val="24"/>
          <w:szCs w:val="24"/>
          <w:lang w:eastAsia="en-US"/>
        </w:rPr>
        <w:t>ernstein’s approach</w:t>
      </w:r>
      <w:r w:rsidR="00F85662" w:rsidRPr="00BA13EC">
        <w:rPr>
          <w:rFonts w:ascii="Times New Roman" w:eastAsiaTheme="minorHAnsi" w:hAnsi="Times New Roman" w:cs="Times New Roman"/>
          <w:sz w:val="24"/>
          <w:szCs w:val="24"/>
          <w:lang w:eastAsia="en-US"/>
        </w:rPr>
        <w:t>. Bernstein’s</w:t>
      </w:r>
      <w:r w:rsidRPr="00BA13EC">
        <w:rPr>
          <w:rFonts w:ascii="Times New Roman" w:eastAsiaTheme="minorHAnsi" w:hAnsi="Times New Roman" w:cs="Times New Roman"/>
          <w:sz w:val="24"/>
          <w:szCs w:val="24"/>
          <w:lang w:eastAsia="en-US"/>
        </w:rPr>
        <w:t xml:space="preserve"> research thus creates a conceptual space for dealing with education in terms of representations</w:t>
      </w:r>
      <w:r w:rsidR="00051355" w:rsidRPr="00BA13EC">
        <w:rPr>
          <w:rFonts w:ascii="Times New Roman" w:eastAsiaTheme="minorHAnsi" w:hAnsi="Times New Roman" w:cs="Times New Roman"/>
          <w:sz w:val="24"/>
          <w:szCs w:val="24"/>
          <w:lang w:eastAsia="en-US"/>
        </w:rPr>
        <w:t xml:space="preserve"> (a central idea in Bourdieu’s </w:t>
      </w:r>
      <w:r w:rsidR="00405A72" w:rsidRPr="00BA13EC">
        <w:rPr>
          <w:rFonts w:ascii="Times New Roman" w:eastAsiaTheme="minorHAnsi" w:hAnsi="Times New Roman" w:cs="Times New Roman"/>
          <w:sz w:val="24"/>
          <w:szCs w:val="24"/>
          <w:lang w:eastAsia="en-US"/>
        </w:rPr>
        <w:t>theory</w:t>
      </w:r>
      <w:r w:rsidR="00051355" w:rsidRPr="00BA13EC">
        <w:rPr>
          <w:rFonts w:ascii="Times New Roman" w:eastAsiaTheme="minorHAnsi" w:hAnsi="Times New Roman" w:cs="Times New Roman"/>
          <w:sz w:val="24"/>
          <w:szCs w:val="24"/>
          <w:lang w:eastAsia="en-US"/>
        </w:rPr>
        <w:t xml:space="preserve"> of distinction)</w:t>
      </w:r>
      <w:r w:rsidRPr="00BA13EC">
        <w:rPr>
          <w:rFonts w:ascii="Times New Roman" w:eastAsiaTheme="minorHAnsi" w:hAnsi="Times New Roman" w:cs="Times New Roman"/>
          <w:sz w:val="24"/>
          <w:szCs w:val="24"/>
          <w:lang w:eastAsia="en-US"/>
        </w:rPr>
        <w:t xml:space="preserve">. In this section we review Bernstein’s theory of educational ‘message systems’ </w:t>
      </w:r>
      <w:r w:rsidRPr="00BA13EC">
        <w:rPr>
          <w:rFonts w:ascii="Times New Roman" w:eastAsiaTheme="minorHAnsi" w:hAnsi="Times New Roman" w:cs="Times New Roman"/>
          <w:sz w:val="24"/>
          <w:szCs w:val="24"/>
          <w:lang w:eastAsia="en-US"/>
        </w:rPr>
        <w:lastRenderedPageBreak/>
        <w:t>and explain how such an approach allows us to examine higher education preferences in terms of distinction and potentially reach an understanding of a field structured by dual modes of distinction.</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For Bernstein, education is as much a social ordering device as a way of selecting, giving and measuring knowledge and skills. Indeed, as Bernstein argues, curriculum, pedagogy and assessment can be regarded as ‘message systems’. The ‘message’ here is not the knowledge and skills themselves but rather authoritative signals about what knowledge is important, how different types of knowledge relate to each other, and so on. As Bernstein puts it,</w:t>
      </w:r>
    </w:p>
    <w:p w:rsidR="004C612C" w:rsidRPr="00BA13EC" w:rsidRDefault="004C612C" w:rsidP="000B2D7A">
      <w:pPr>
        <w:ind w:left="720"/>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Curriculum defines what counts as valid knowledge, pedagogy defines what counts as a valid transmission of knowledge, and evaluation [assessment] defines what counts as a valid realisation of this knowledge on the part of the taught. (1975, p. 85)</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This definition highlights the special sense of these terms for Bernstein and why they do as much representing of some underlying order as they stand for themselves. The social significance of Bernstein’s theory of message systems is that the messages are about and for the distribution of success and failure in education which works for some social groups and against others. Bernstein’s message systems shape the experience of learners and thus structure consciousness. </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To grasp the way curriculum, pedagogy and assessment emit social messages, Bernstein introduced two special concepts, ‘classification’ and ‘framing’. Classification concerns the extent to which different subjects or areas of knowledge are separated or ‘insulated’ from each other. Bernstein observed that in some educational contexts, subjects are strictly separated and in others more blending occurs. In primary schooling to this day, learners experience some integration of knowledge such as when a project draws on geographical, artistic and historical forms of knowledge. In this situation Bernstein would say the classification is ‘weak’ or that some blurring of the boundaries is allowed to occur. On the other hand, in settings like secondary school, subjects are often kept separate. In this case ‘strong’ classification is at work. Framing, on the other hand, relates to teaching and learning, and refers to</w:t>
      </w:r>
    </w:p>
    <w:p w:rsidR="004C612C" w:rsidRPr="00BA13EC" w:rsidRDefault="004C612C" w:rsidP="000B2D7A">
      <w:pPr>
        <w:ind w:left="720"/>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the degree of control teacher and pupil possess over the selection, organisation, pacing and timing of the knowledge transmitted and received in the pedagogical relationship. (1975, p. 89)</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Here again, ‘strong’ and ‘weak’ forms can be observed. So-called ‘student-centred learning’ can involve negotiation between t</w:t>
      </w:r>
      <w:r w:rsidR="00A97EB3" w:rsidRPr="00BA13EC">
        <w:rPr>
          <w:rFonts w:ascii="Times New Roman" w:eastAsiaTheme="minorHAnsi" w:hAnsi="Times New Roman" w:cs="Times New Roman"/>
          <w:sz w:val="24"/>
          <w:szCs w:val="24"/>
          <w:lang w:eastAsia="en-US"/>
        </w:rPr>
        <w:t>eachers and studen</w:t>
      </w:r>
      <w:r w:rsidRPr="00BA13EC">
        <w:rPr>
          <w:rFonts w:ascii="Times New Roman" w:eastAsiaTheme="minorHAnsi" w:hAnsi="Times New Roman" w:cs="Times New Roman"/>
          <w:sz w:val="24"/>
          <w:szCs w:val="24"/>
          <w:lang w:eastAsia="en-US"/>
        </w:rPr>
        <w:t xml:space="preserve">ts over what, when and how content </w:t>
      </w:r>
      <w:r w:rsidR="00F06FF9" w:rsidRPr="00BA13EC">
        <w:rPr>
          <w:rFonts w:ascii="Times New Roman" w:eastAsiaTheme="minorHAnsi" w:hAnsi="Times New Roman" w:cs="Times New Roman"/>
          <w:sz w:val="24"/>
          <w:szCs w:val="24"/>
          <w:lang w:eastAsia="en-US"/>
        </w:rPr>
        <w:t xml:space="preserve">is </w:t>
      </w:r>
      <w:r w:rsidRPr="00BA13EC">
        <w:rPr>
          <w:rFonts w:ascii="Times New Roman" w:eastAsiaTheme="minorHAnsi" w:hAnsi="Times New Roman" w:cs="Times New Roman"/>
          <w:sz w:val="24"/>
          <w:szCs w:val="24"/>
          <w:lang w:eastAsia="en-US"/>
        </w:rPr>
        <w:t xml:space="preserve">taught. In this case, framing is considered ‘weak’. In situations where content and its sequence, mode of delivery, pacing, etc., are strictly determined, strong framing is observed. </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Although Bernstein generally eschewed big-picture sociology (preferring to get the basic, micro units of description right before attempting high level speculation (1975, p. 2)), the significance of his theory of message systems for our research</w:t>
      </w:r>
      <w:r w:rsidR="00F06FF9" w:rsidRPr="00BA13EC">
        <w:rPr>
          <w:rFonts w:ascii="Times New Roman" w:eastAsiaTheme="minorHAnsi" w:hAnsi="Times New Roman" w:cs="Times New Roman"/>
          <w:sz w:val="24"/>
          <w:szCs w:val="24"/>
          <w:lang w:eastAsia="en-US"/>
        </w:rPr>
        <w:t xml:space="preserve"> question</w:t>
      </w:r>
      <w:r w:rsidRPr="00BA13EC">
        <w:rPr>
          <w:rFonts w:ascii="Times New Roman" w:eastAsiaTheme="minorHAnsi" w:hAnsi="Times New Roman" w:cs="Times New Roman"/>
          <w:sz w:val="24"/>
          <w:szCs w:val="24"/>
          <w:lang w:eastAsia="en-US"/>
        </w:rPr>
        <w:t xml:space="preserve"> can be suggested. Going back to the specific context of Bernstein’s micro-analyses of educational message </w:t>
      </w:r>
      <w:r w:rsidRPr="00BA13EC">
        <w:rPr>
          <w:rFonts w:ascii="Times New Roman" w:eastAsiaTheme="minorHAnsi" w:hAnsi="Times New Roman" w:cs="Times New Roman"/>
          <w:sz w:val="24"/>
          <w:szCs w:val="24"/>
          <w:lang w:eastAsia="en-US"/>
        </w:rPr>
        <w:lastRenderedPageBreak/>
        <w:t>systems, he indicates implications for social order and identity. His analysis of classification and framing revealed the functioning of two ‘e</w:t>
      </w:r>
      <w:r w:rsidR="00F06FF9" w:rsidRPr="00BA13EC">
        <w:rPr>
          <w:rFonts w:ascii="Times New Roman" w:eastAsiaTheme="minorHAnsi" w:hAnsi="Times New Roman" w:cs="Times New Roman"/>
          <w:sz w:val="24"/>
          <w:szCs w:val="24"/>
          <w:lang w:eastAsia="en-US"/>
        </w:rPr>
        <w:t>ducational knowledge codes’. The dominant one</w:t>
      </w:r>
      <w:r w:rsidRPr="00BA13EC">
        <w:rPr>
          <w:rFonts w:ascii="Times New Roman" w:eastAsiaTheme="minorHAnsi" w:hAnsi="Times New Roman" w:cs="Times New Roman"/>
          <w:sz w:val="24"/>
          <w:szCs w:val="24"/>
          <w:lang w:eastAsia="en-US"/>
        </w:rPr>
        <w:t xml:space="preserve"> of </w:t>
      </w:r>
      <w:r w:rsidR="00F06FF9" w:rsidRPr="00BA13EC">
        <w:rPr>
          <w:rFonts w:ascii="Times New Roman" w:eastAsiaTheme="minorHAnsi" w:hAnsi="Times New Roman" w:cs="Times New Roman"/>
          <w:sz w:val="24"/>
          <w:szCs w:val="24"/>
          <w:lang w:eastAsia="en-US"/>
        </w:rPr>
        <w:t>these</w:t>
      </w:r>
      <w:r w:rsidRPr="00BA13EC">
        <w:rPr>
          <w:rFonts w:ascii="Times New Roman" w:eastAsiaTheme="minorHAnsi" w:hAnsi="Times New Roman" w:cs="Times New Roman"/>
          <w:sz w:val="24"/>
          <w:szCs w:val="24"/>
          <w:lang w:eastAsia="en-US"/>
        </w:rPr>
        <w:t xml:space="preserve"> he termed ‘collection code’ which captures the phenomenon of strongly classified curriculum such that subjects or forms of knowledge are kept separate and appear as a collection of separate studies. For Bernstein, the collection code has specific implications for the </w:t>
      </w:r>
      <w:r w:rsidR="00F06FF9" w:rsidRPr="00BA13EC">
        <w:rPr>
          <w:rFonts w:ascii="Times New Roman" w:eastAsiaTheme="minorHAnsi" w:hAnsi="Times New Roman" w:cs="Times New Roman"/>
          <w:sz w:val="24"/>
          <w:szCs w:val="24"/>
          <w:lang w:eastAsia="en-US"/>
        </w:rPr>
        <w:t>maintenance</w:t>
      </w:r>
      <w:r w:rsidRPr="00BA13EC">
        <w:rPr>
          <w:rFonts w:ascii="Times New Roman" w:eastAsiaTheme="minorHAnsi" w:hAnsi="Times New Roman" w:cs="Times New Roman"/>
          <w:sz w:val="24"/>
          <w:szCs w:val="24"/>
          <w:lang w:eastAsia="en-US"/>
        </w:rPr>
        <w:t xml:space="preserve"> of social order and the construction of social identities:</w:t>
      </w:r>
    </w:p>
    <w:p w:rsidR="004C612C" w:rsidRPr="00BA13EC" w:rsidRDefault="004C612C" w:rsidP="000B2D7A">
      <w:pPr>
        <w:ind w:left="720"/>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Where knowledge is regulated by collection codes, social order arises out of the hierarchical nature of authority relationships, out of the systematic ordering of the differentiated knowledge in time and space, out of an explicit, usually predictable, examining procedure. Order internal to the individual is created through the formation of specific identities. (1975, p. 106)</w:t>
      </w:r>
    </w:p>
    <w:p w:rsidR="004C612C"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In British schooling in the 1970s, the analysis of class reproduction is thus facilitated by discerning the codes represented by curriculum, pedagogical and assessment practices and how they are represented. In addition to the collection code, Bernstein described an emerging ‘integrated code’. Here, classification and/or framing are weak. In the British context, A. S. Neill’s Summerhill School stands out as an example of an education transmitting the integrated code. For Bernstein, this relatively new development, foregrounded by analysis using the concepts of classification and framing, produces a different order and identities. Bern</w:t>
      </w:r>
      <w:r w:rsidR="00F06FF9" w:rsidRPr="00BA13EC">
        <w:rPr>
          <w:rFonts w:ascii="Times New Roman" w:eastAsiaTheme="minorHAnsi" w:hAnsi="Times New Roman" w:cs="Times New Roman"/>
          <w:sz w:val="24"/>
          <w:szCs w:val="24"/>
          <w:lang w:eastAsia="en-US"/>
        </w:rPr>
        <w:t>stein did not offer a comprehensive</w:t>
      </w:r>
      <w:r w:rsidRPr="00BA13EC">
        <w:rPr>
          <w:rFonts w:ascii="Times New Roman" w:eastAsiaTheme="minorHAnsi" w:hAnsi="Times New Roman" w:cs="Times New Roman"/>
          <w:sz w:val="24"/>
          <w:szCs w:val="24"/>
          <w:lang w:eastAsia="en-US"/>
        </w:rPr>
        <w:t xml:space="preserve"> analysis of this code. Rather, he suggests that the order created by this new type of code ‘may well be problematic’ (1975, p. 107). Indeed, it could be argued that one of the challenges for a sociology of </w:t>
      </w:r>
      <w:r w:rsidR="00F06FF9" w:rsidRPr="00BA13EC">
        <w:rPr>
          <w:rFonts w:ascii="Times New Roman" w:eastAsiaTheme="minorHAnsi" w:hAnsi="Times New Roman" w:cs="Times New Roman"/>
          <w:sz w:val="24"/>
          <w:szCs w:val="24"/>
          <w:lang w:eastAsia="en-US"/>
        </w:rPr>
        <w:t>education</w:t>
      </w:r>
      <w:r w:rsidRPr="00BA13EC">
        <w:rPr>
          <w:rFonts w:ascii="Times New Roman" w:eastAsiaTheme="minorHAnsi" w:hAnsi="Times New Roman" w:cs="Times New Roman"/>
          <w:sz w:val="24"/>
          <w:szCs w:val="24"/>
          <w:lang w:eastAsia="en-US"/>
        </w:rPr>
        <w:t xml:space="preserve"> was making sense of the emergence of the integrated code type, and how it played out for social classes. The new code certainly represents opportunities for social groups to gain advantages </w:t>
      </w:r>
      <w:r w:rsidR="00F06FF9" w:rsidRPr="00BA13EC">
        <w:rPr>
          <w:rFonts w:ascii="Times New Roman" w:eastAsiaTheme="minorHAnsi" w:hAnsi="Times New Roman" w:cs="Times New Roman"/>
          <w:sz w:val="24"/>
          <w:szCs w:val="24"/>
          <w:lang w:eastAsia="en-US"/>
        </w:rPr>
        <w:t>they would not necessarily expect</w:t>
      </w:r>
      <w:r w:rsidRPr="00BA13EC">
        <w:rPr>
          <w:rFonts w:ascii="Times New Roman" w:eastAsiaTheme="minorHAnsi" w:hAnsi="Times New Roman" w:cs="Times New Roman"/>
          <w:sz w:val="24"/>
          <w:szCs w:val="24"/>
          <w:lang w:eastAsia="en-US"/>
        </w:rPr>
        <w:t xml:space="preserve"> under the collected code. </w:t>
      </w:r>
    </w:p>
    <w:p w:rsidR="00A97EB3"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For the purposes of</w:t>
      </w:r>
      <w:r w:rsidR="00F06FF9" w:rsidRPr="00BA13EC">
        <w:rPr>
          <w:rFonts w:ascii="Times New Roman" w:eastAsiaTheme="minorHAnsi" w:hAnsi="Times New Roman" w:cs="Times New Roman"/>
          <w:sz w:val="24"/>
          <w:szCs w:val="24"/>
          <w:lang w:eastAsia="en-US"/>
        </w:rPr>
        <w:t xml:space="preserve"> understanding the macro level </w:t>
      </w:r>
      <w:r w:rsidRPr="00BA13EC">
        <w:rPr>
          <w:rFonts w:ascii="Times New Roman" w:eastAsiaTheme="minorHAnsi" w:hAnsi="Times New Roman" w:cs="Times New Roman"/>
          <w:sz w:val="24"/>
          <w:szCs w:val="24"/>
          <w:lang w:eastAsia="en-US"/>
        </w:rPr>
        <w:t xml:space="preserve">question of the entrance of new institutions and degrees into higher education that appear to be eliciting responses suggesting an alternative mode of distinction, Bernstein’s analysis of message systems offers data collection and analysis tools. Speculating on the significance of the new educational knowledge code beyond the level of primary school, he suggests that ‘the growing differentiation of knowledge at higher levels of thought, together with the integration of previously discrete areas, may set up requirements for a form of socialization appropriate to these changes in the structure of knowledge’ (1975, p. 110). For us, this suggestion draws attention to the role of the new institutions and degrees within the field of the production and reproduction of knowledge at higher levels. </w:t>
      </w:r>
    </w:p>
    <w:p w:rsidR="00784A59" w:rsidRPr="00BA13EC" w:rsidRDefault="005D0E05"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T</w:t>
      </w:r>
      <w:r w:rsidR="004C612C" w:rsidRPr="00BA13EC">
        <w:rPr>
          <w:rFonts w:ascii="Times New Roman" w:eastAsiaTheme="minorHAnsi" w:hAnsi="Times New Roman" w:cs="Times New Roman"/>
          <w:sz w:val="24"/>
          <w:szCs w:val="24"/>
          <w:lang w:eastAsia="en-US"/>
        </w:rPr>
        <w:t xml:space="preserve">he new options represented by TAFEs and their degrees </w:t>
      </w:r>
      <w:r w:rsidRPr="00BA13EC">
        <w:rPr>
          <w:rFonts w:ascii="Times New Roman" w:eastAsiaTheme="minorHAnsi" w:hAnsi="Times New Roman" w:cs="Times New Roman"/>
          <w:sz w:val="24"/>
          <w:szCs w:val="24"/>
          <w:lang w:eastAsia="en-US"/>
        </w:rPr>
        <w:t xml:space="preserve">may </w:t>
      </w:r>
      <w:r w:rsidR="004C612C" w:rsidRPr="00BA13EC">
        <w:rPr>
          <w:rFonts w:ascii="Times New Roman" w:eastAsiaTheme="minorHAnsi" w:hAnsi="Times New Roman" w:cs="Times New Roman"/>
          <w:sz w:val="24"/>
          <w:szCs w:val="24"/>
          <w:lang w:eastAsia="en-US"/>
        </w:rPr>
        <w:t xml:space="preserve">offer such a form of socialisation and thus an avenue to legitimate participation in </w:t>
      </w:r>
      <w:r w:rsidR="00784A59" w:rsidRPr="00BA13EC">
        <w:rPr>
          <w:rFonts w:ascii="Times New Roman" w:eastAsiaTheme="minorHAnsi" w:hAnsi="Times New Roman" w:cs="Times New Roman"/>
          <w:sz w:val="24"/>
          <w:szCs w:val="24"/>
          <w:lang w:eastAsia="en-US"/>
        </w:rPr>
        <w:t>the construction of and sharing in</w:t>
      </w:r>
      <w:r w:rsidR="004C612C" w:rsidRPr="00BA13EC">
        <w:rPr>
          <w:rFonts w:ascii="Times New Roman" w:eastAsiaTheme="minorHAnsi" w:hAnsi="Times New Roman" w:cs="Times New Roman"/>
          <w:sz w:val="24"/>
          <w:szCs w:val="24"/>
          <w:lang w:eastAsia="en-US"/>
        </w:rPr>
        <w:t xml:space="preserve"> the benefit</w:t>
      </w:r>
      <w:r w:rsidRPr="00BA13EC">
        <w:rPr>
          <w:rFonts w:ascii="Times New Roman" w:eastAsiaTheme="minorHAnsi" w:hAnsi="Times New Roman" w:cs="Times New Roman"/>
          <w:sz w:val="24"/>
          <w:szCs w:val="24"/>
          <w:lang w:eastAsia="en-US"/>
        </w:rPr>
        <w:t>s of the new forms of knowledge.</w:t>
      </w:r>
      <w:r w:rsidR="004C612C" w:rsidRPr="00BA13EC">
        <w:rPr>
          <w:rFonts w:ascii="Times New Roman" w:eastAsiaTheme="minorHAnsi" w:hAnsi="Times New Roman" w:cs="Times New Roman"/>
          <w:sz w:val="24"/>
          <w:szCs w:val="24"/>
          <w:lang w:eastAsia="en-US"/>
        </w:rPr>
        <w:t xml:space="preserve"> This question can be conceptualised in terms of understanding the messages emitted about curriculum, pedagogy and assessment by TAFEs and their degrees. These messages do not need to be actively communicated by marketing departments to be effective. Rather, policy makers, employers, families and prospective students can refer to their experience of the VET sector for relevant models of the </w:t>
      </w:r>
      <w:r w:rsidR="004C612C" w:rsidRPr="00BA13EC">
        <w:rPr>
          <w:rFonts w:ascii="Times New Roman" w:eastAsiaTheme="minorHAnsi" w:hAnsi="Times New Roman" w:cs="Times New Roman"/>
          <w:sz w:val="24"/>
          <w:szCs w:val="24"/>
          <w:lang w:eastAsia="en-US"/>
        </w:rPr>
        <w:lastRenderedPageBreak/>
        <w:t>message systems. Analyses of VET sector qualifications using Bernstein’s concepts of classification and framing argue that the competency-based curriculum model that underpins provision in the entire sector, and has done so for about 25 years, is characterised by weak framing (Robertson, 2009, Wheelahan, 2010). A form of the integrated knowledge code is indicated</w:t>
      </w:r>
      <w:r w:rsidR="00784A59" w:rsidRPr="00BA13EC">
        <w:rPr>
          <w:rFonts w:ascii="Times New Roman" w:eastAsiaTheme="minorHAnsi" w:hAnsi="Times New Roman" w:cs="Times New Roman"/>
          <w:sz w:val="24"/>
          <w:szCs w:val="24"/>
          <w:lang w:eastAsia="en-US"/>
        </w:rPr>
        <w:t xml:space="preserve"> here that may be associated with</w:t>
      </w:r>
      <w:r w:rsidR="004C612C" w:rsidRPr="00BA13EC">
        <w:rPr>
          <w:rFonts w:ascii="Times New Roman" w:eastAsiaTheme="minorHAnsi" w:hAnsi="Times New Roman" w:cs="Times New Roman"/>
          <w:sz w:val="24"/>
          <w:szCs w:val="24"/>
          <w:lang w:eastAsia="en-US"/>
        </w:rPr>
        <w:t xml:space="preserve"> curriculum, pedagogy and assessment in TAFE degrees. </w:t>
      </w:r>
      <w:r w:rsidR="00784A59" w:rsidRPr="00BA13EC">
        <w:rPr>
          <w:rFonts w:ascii="Times New Roman" w:eastAsiaTheme="minorHAnsi" w:hAnsi="Times New Roman" w:cs="Times New Roman"/>
          <w:sz w:val="24"/>
          <w:szCs w:val="24"/>
          <w:lang w:eastAsia="en-US"/>
        </w:rPr>
        <w:t>At the same time, marketing strategies that stress the vocational outcomes of TAFE degrees and the comparability of the status of these qualifications with university degrees reinforce prior experience of VET in the minds of decision makers interested in making a distinctive choice.</w:t>
      </w:r>
    </w:p>
    <w:p w:rsidR="00273D1E" w:rsidRPr="00BA13EC" w:rsidRDefault="004C612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In contrast, perceptions of </w:t>
      </w:r>
      <w:r w:rsidR="00784A59" w:rsidRPr="00BA13EC">
        <w:rPr>
          <w:rFonts w:ascii="Times New Roman" w:eastAsiaTheme="minorHAnsi" w:hAnsi="Times New Roman" w:cs="Times New Roman"/>
          <w:sz w:val="24"/>
          <w:szCs w:val="24"/>
          <w:lang w:eastAsia="en-US"/>
        </w:rPr>
        <w:t>a traditional university education (potentially nurtured by TAFE degree marketing), can suggest the co</w:t>
      </w:r>
      <w:r w:rsidR="003E1A6F" w:rsidRPr="00BA13EC">
        <w:rPr>
          <w:rFonts w:ascii="Times New Roman" w:eastAsiaTheme="minorHAnsi" w:hAnsi="Times New Roman" w:cs="Times New Roman"/>
          <w:sz w:val="24"/>
          <w:szCs w:val="24"/>
          <w:lang w:eastAsia="en-US"/>
        </w:rPr>
        <w:t>llection</w:t>
      </w:r>
      <w:r w:rsidR="00784A59" w:rsidRPr="00BA13EC">
        <w:rPr>
          <w:rFonts w:ascii="Times New Roman" w:eastAsiaTheme="minorHAnsi" w:hAnsi="Times New Roman" w:cs="Times New Roman"/>
          <w:sz w:val="24"/>
          <w:szCs w:val="24"/>
          <w:lang w:eastAsia="en-US"/>
        </w:rPr>
        <w:t xml:space="preserve"> code. If university education is associated with r</w:t>
      </w:r>
      <w:r w:rsidRPr="00BA13EC">
        <w:rPr>
          <w:rFonts w:ascii="Times New Roman" w:eastAsiaTheme="minorHAnsi" w:hAnsi="Times New Roman" w:cs="Times New Roman"/>
          <w:sz w:val="24"/>
          <w:szCs w:val="24"/>
          <w:lang w:eastAsia="en-US"/>
        </w:rPr>
        <w:t>igid subject divisions</w:t>
      </w:r>
      <w:r w:rsidR="00784A59" w:rsidRPr="00BA13EC">
        <w:rPr>
          <w:rFonts w:ascii="Times New Roman" w:eastAsiaTheme="minorHAnsi" w:hAnsi="Times New Roman" w:cs="Times New Roman"/>
          <w:sz w:val="24"/>
          <w:szCs w:val="24"/>
          <w:lang w:eastAsia="en-US"/>
        </w:rPr>
        <w:t xml:space="preserve">, alienating </w:t>
      </w:r>
      <w:r w:rsidRPr="00BA13EC">
        <w:rPr>
          <w:rFonts w:ascii="Times New Roman" w:eastAsiaTheme="minorHAnsi" w:hAnsi="Times New Roman" w:cs="Times New Roman"/>
          <w:sz w:val="24"/>
          <w:szCs w:val="24"/>
          <w:lang w:eastAsia="en-US"/>
        </w:rPr>
        <w:t xml:space="preserve">lecture </w:t>
      </w:r>
      <w:r w:rsidR="00784A59" w:rsidRPr="00BA13EC">
        <w:rPr>
          <w:rFonts w:ascii="Times New Roman" w:eastAsiaTheme="minorHAnsi" w:hAnsi="Times New Roman" w:cs="Times New Roman"/>
          <w:sz w:val="24"/>
          <w:szCs w:val="24"/>
          <w:lang w:eastAsia="en-US"/>
        </w:rPr>
        <w:t xml:space="preserve">hall delivery to masses of students, and high-stakes examination-style assessment </w:t>
      </w:r>
      <w:r w:rsidR="003E1A6F" w:rsidRPr="00BA13EC">
        <w:rPr>
          <w:rFonts w:ascii="Times New Roman" w:eastAsiaTheme="minorHAnsi" w:hAnsi="Times New Roman" w:cs="Times New Roman"/>
          <w:sz w:val="24"/>
          <w:szCs w:val="24"/>
          <w:lang w:eastAsia="en-US"/>
        </w:rPr>
        <w:t xml:space="preserve">then a traditional educational knowledge code is implied. As Bernstein </w:t>
      </w:r>
      <w:r w:rsidR="004649E8" w:rsidRPr="00BA13EC">
        <w:rPr>
          <w:rFonts w:ascii="Times New Roman" w:eastAsiaTheme="minorHAnsi" w:hAnsi="Times New Roman" w:cs="Times New Roman"/>
          <w:sz w:val="24"/>
          <w:szCs w:val="24"/>
          <w:lang w:eastAsia="en-US"/>
        </w:rPr>
        <w:t xml:space="preserve">(1975) </w:t>
      </w:r>
      <w:r w:rsidR="003E1A6F" w:rsidRPr="00BA13EC">
        <w:rPr>
          <w:rFonts w:ascii="Times New Roman" w:eastAsiaTheme="minorHAnsi" w:hAnsi="Times New Roman" w:cs="Times New Roman"/>
          <w:sz w:val="24"/>
          <w:szCs w:val="24"/>
          <w:lang w:eastAsia="en-US"/>
        </w:rPr>
        <w:t>suggests, this code is distinct from that of the emerging integrated knowledge code</w:t>
      </w:r>
      <w:r w:rsidR="004649E8" w:rsidRPr="00BA13EC">
        <w:rPr>
          <w:rFonts w:ascii="Times New Roman" w:eastAsiaTheme="minorHAnsi" w:hAnsi="Times New Roman" w:cs="Times New Roman"/>
          <w:sz w:val="24"/>
          <w:szCs w:val="24"/>
          <w:lang w:eastAsia="en-US"/>
        </w:rPr>
        <w:t>. Traditional higher education</w:t>
      </w:r>
      <w:r w:rsidR="00784A59" w:rsidRPr="00BA13EC">
        <w:rPr>
          <w:rFonts w:ascii="Times New Roman" w:eastAsiaTheme="minorHAnsi" w:hAnsi="Times New Roman" w:cs="Times New Roman"/>
          <w:sz w:val="24"/>
          <w:szCs w:val="24"/>
          <w:lang w:eastAsia="en-US"/>
        </w:rPr>
        <w:t xml:space="preserve"> </w:t>
      </w:r>
      <w:r w:rsidR="004649E8" w:rsidRPr="00BA13EC">
        <w:rPr>
          <w:rFonts w:ascii="Times New Roman" w:eastAsiaTheme="minorHAnsi" w:hAnsi="Times New Roman" w:cs="Times New Roman"/>
          <w:sz w:val="24"/>
          <w:szCs w:val="24"/>
          <w:lang w:eastAsia="en-US"/>
        </w:rPr>
        <w:t xml:space="preserve">curriculum, </w:t>
      </w:r>
      <w:r w:rsidRPr="00BA13EC">
        <w:rPr>
          <w:rFonts w:ascii="Times New Roman" w:eastAsiaTheme="minorHAnsi" w:hAnsi="Times New Roman" w:cs="Times New Roman"/>
          <w:sz w:val="24"/>
          <w:szCs w:val="24"/>
          <w:lang w:eastAsia="en-US"/>
        </w:rPr>
        <w:t>pedagogy and assessment may represent a</w:t>
      </w:r>
      <w:r w:rsidR="004649E8" w:rsidRPr="00BA13EC">
        <w:rPr>
          <w:rFonts w:ascii="Times New Roman" w:eastAsiaTheme="minorHAnsi" w:hAnsi="Times New Roman" w:cs="Times New Roman"/>
          <w:sz w:val="24"/>
          <w:szCs w:val="24"/>
          <w:lang w:eastAsia="en-US"/>
        </w:rPr>
        <w:t xml:space="preserve"> </w:t>
      </w:r>
      <w:r w:rsidRPr="00BA13EC">
        <w:rPr>
          <w:rFonts w:ascii="Times New Roman" w:eastAsiaTheme="minorHAnsi" w:hAnsi="Times New Roman" w:cs="Times New Roman"/>
          <w:sz w:val="24"/>
          <w:szCs w:val="24"/>
          <w:lang w:eastAsia="en-US"/>
        </w:rPr>
        <w:t xml:space="preserve">tradition </w:t>
      </w:r>
      <w:r w:rsidR="004649E8" w:rsidRPr="00BA13EC">
        <w:rPr>
          <w:rFonts w:ascii="Times New Roman" w:eastAsiaTheme="minorHAnsi" w:hAnsi="Times New Roman" w:cs="Times New Roman"/>
          <w:sz w:val="24"/>
          <w:szCs w:val="24"/>
          <w:lang w:eastAsia="en-US"/>
        </w:rPr>
        <w:t xml:space="preserve">that may be perceived to be </w:t>
      </w:r>
      <w:r w:rsidRPr="00BA13EC">
        <w:rPr>
          <w:rFonts w:ascii="Times New Roman" w:eastAsiaTheme="minorHAnsi" w:hAnsi="Times New Roman" w:cs="Times New Roman"/>
          <w:sz w:val="24"/>
          <w:szCs w:val="24"/>
          <w:lang w:eastAsia="en-US"/>
        </w:rPr>
        <w:t>at odds with</w:t>
      </w:r>
      <w:r w:rsidR="005D0E05" w:rsidRPr="00BA13EC">
        <w:rPr>
          <w:rFonts w:ascii="Times New Roman" w:eastAsiaTheme="minorHAnsi" w:hAnsi="Times New Roman" w:cs="Times New Roman"/>
          <w:sz w:val="24"/>
          <w:szCs w:val="24"/>
          <w:lang w:eastAsia="en-US"/>
        </w:rPr>
        <w:t xml:space="preserve"> shifts in higher knowledge. Potentially,</w:t>
      </w:r>
      <w:r w:rsidRPr="00BA13EC">
        <w:rPr>
          <w:rFonts w:ascii="Times New Roman" w:eastAsiaTheme="minorHAnsi" w:hAnsi="Times New Roman" w:cs="Times New Roman"/>
          <w:sz w:val="24"/>
          <w:szCs w:val="24"/>
          <w:lang w:eastAsia="en-US"/>
        </w:rPr>
        <w:t xml:space="preserve"> the established mode of distinction </w:t>
      </w:r>
      <w:r w:rsidR="005D0E05" w:rsidRPr="00BA13EC">
        <w:rPr>
          <w:rFonts w:ascii="Times New Roman" w:eastAsiaTheme="minorHAnsi" w:hAnsi="Times New Roman" w:cs="Times New Roman"/>
          <w:sz w:val="24"/>
          <w:szCs w:val="24"/>
          <w:lang w:eastAsia="en-US"/>
        </w:rPr>
        <w:t xml:space="preserve">can </w:t>
      </w:r>
      <w:r w:rsidRPr="00BA13EC">
        <w:rPr>
          <w:rFonts w:ascii="Times New Roman" w:eastAsiaTheme="minorHAnsi" w:hAnsi="Times New Roman" w:cs="Times New Roman"/>
          <w:sz w:val="24"/>
          <w:szCs w:val="24"/>
          <w:lang w:eastAsia="en-US"/>
        </w:rPr>
        <w:t xml:space="preserve">be safely disregarded if </w:t>
      </w:r>
      <w:r w:rsidR="005D0E05" w:rsidRPr="00BA13EC">
        <w:rPr>
          <w:rFonts w:ascii="Times New Roman" w:eastAsiaTheme="minorHAnsi" w:hAnsi="Times New Roman" w:cs="Times New Roman"/>
          <w:sz w:val="24"/>
          <w:szCs w:val="24"/>
          <w:lang w:eastAsia="en-US"/>
        </w:rPr>
        <w:t>its authority base is undermined</w:t>
      </w:r>
      <w:r w:rsidRPr="00BA13EC">
        <w:rPr>
          <w:rFonts w:ascii="Times New Roman" w:eastAsiaTheme="minorHAnsi" w:hAnsi="Times New Roman" w:cs="Times New Roman"/>
          <w:sz w:val="24"/>
          <w:szCs w:val="24"/>
          <w:lang w:eastAsia="en-US"/>
        </w:rPr>
        <w:t xml:space="preserve"> by shifts in work and the economy commensurat</w:t>
      </w:r>
      <w:r w:rsidR="005D0E05" w:rsidRPr="00BA13EC">
        <w:rPr>
          <w:rFonts w:ascii="Times New Roman" w:eastAsiaTheme="minorHAnsi" w:hAnsi="Times New Roman" w:cs="Times New Roman"/>
          <w:sz w:val="24"/>
          <w:szCs w:val="24"/>
          <w:lang w:eastAsia="en-US"/>
        </w:rPr>
        <w:t>e with new knowledge structures.</w:t>
      </w:r>
      <w:r w:rsidRPr="00BA13EC">
        <w:rPr>
          <w:rFonts w:ascii="Times New Roman" w:eastAsiaTheme="minorHAnsi" w:hAnsi="Times New Roman" w:cs="Times New Roman"/>
          <w:sz w:val="24"/>
          <w:szCs w:val="24"/>
          <w:lang w:eastAsia="en-US"/>
        </w:rPr>
        <w:t xml:space="preserve"> </w:t>
      </w:r>
    </w:p>
    <w:p w:rsidR="004649E8" w:rsidRPr="00BA13EC" w:rsidRDefault="004649E8"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Bernstein (1975) also suggests that changes in the division of labour are bringing with them a ‘new concept of skill’ (p. 110). The implication here is that a more flexible knowledge base is required, one that is not so tightly bounded by </w:t>
      </w:r>
      <w:r w:rsidR="00CD7B8E" w:rsidRPr="00BA13EC">
        <w:rPr>
          <w:rFonts w:ascii="Times New Roman" w:eastAsiaTheme="minorHAnsi" w:hAnsi="Times New Roman" w:cs="Times New Roman"/>
          <w:sz w:val="24"/>
          <w:szCs w:val="24"/>
          <w:lang w:eastAsia="en-US"/>
        </w:rPr>
        <w:t>traditional work roles and identities. It would follow that if higher skills are seen to be required for rewarding jobs then again, a higher education associated with the integrated code will be preferable and it would appear that TAFE degrees represent this type of code. Bernstein makes a third point about the implications of the integrated code above primary schooling levels, and that is that the ‘less rigid social structure of the integrated code makes it a potential code for egalitarian education’ (1975, p. 110). If a type of higher education provider and its degrees can be associated with the integration code then it would be a more natural choice for social groups who may have seen themselves as barred from higher education.</w:t>
      </w:r>
      <w:r w:rsidR="00662565" w:rsidRPr="00BA13EC">
        <w:rPr>
          <w:rFonts w:ascii="Times New Roman" w:eastAsiaTheme="minorHAnsi" w:hAnsi="Times New Roman" w:cs="Times New Roman"/>
          <w:sz w:val="24"/>
          <w:szCs w:val="24"/>
          <w:lang w:eastAsia="en-US"/>
        </w:rPr>
        <w:t xml:space="preserve"> It is possible that universities are moving to protect themselves in this environment by setting up or partnering with colleges that provide pathways into university degrees.</w:t>
      </w:r>
    </w:p>
    <w:p w:rsidR="00CD7B8E" w:rsidRPr="00BA13EC" w:rsidRDefault="00D13559" w:rsidP="000B2D7A">
      <w:pPr>
        <w:jc w:val="both"/>
        <w:rPr>
          <w:rFonts w:ascii="Times New Roman" w:eastAsiaTheme="minorHAnsi" w:hAnsi="Times New Roman" w:cs="Times New Roman"/>
          <w:b/>
          <w:sz w:val="24"/>
          <w:szCs w:val="24"/>
          <w:lang w:eastAsia="en-US"/>
        </w:rPr>
      </w:pPr>
      <w:r w:rsidRPr="00BA13EC">
        <w:rPr>
          <w:rFonts w:ascii="Times New Roman" w:eastAsiaTheme="minorHAnsi" w:hAnsi="Times New Roman" w:cs="Times New Roman"/>
          <w:b/>
          <w:sz w:val="24"/>
          <w:szCs w:val="24"/>
          <w:lang w:eastAsia="en-US"/>
        </w:rPr>
        <w:t>Conclusion</w:t>
      </w:r>
    </w:p>
    <w:p w:rsidR="00D13559" w:rsidRPr="00BA13EC" w:rsidRDefault="00EF2F34"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We argue that </w:t>
      </w:r>
      <w:r w:rsidR="00F85662" w:rsidRPr="00BA13EC">
        <w:rPr>
          <w:rFonts w:ascii="Times New Roman" w:eastAsiaTheme="minorHAnsi" w:hAnsi="Times New Roman" w:cs="Times New Roman"/>
          <w:sz w:val="24"/>
          <w:szCs w:val="24"/>
          <w:lang w:eastAsia="en-US"/>
        </w:rPr>
        <w:t xml:space="preserve">Bernstein’s (1975) theory of message systems can </w:t>
      </w:r>
      <w:r w:rsidR="008D0185" w:rsidRPr="00BA13EC">
        <w:rPr>
          <w:rFonts w:ascii="Times New Roman" w:eastAsiaTheme="minorHAnsi" w:hAnsi="Times New Roman" w:cs="Times New Roman"/>
          <w:sz w:val="24"/>
          <w:szCs w:val="24"/>
          <w:lang w:eastAsia="en-US"/>
        </w:rPr>
        <w:t>contribute to a framework for</w:t>
      </w:r>
      <w:r w:rsidR="00F85662" w:rsidRPr="00BA13EC">
        <w:rPr>
          <w:rFonts w:ascii="Times New Roman" w:eastAsiaTheme="minorHAnsi" w:hAnsi="Times New Roman" w:cs="Times New Roman"/>
          <w:sz w:val="24"/>
          <w:szCs w:val="24"/>
          <w:lang w:eastAsia="en-US"/>
        </w:rPr>
        <w:t xml:space="preserve"> research</w:t>
      </w:r>
      <w:r w:rsidR="008D0185" w:rsidRPr="00BA13EC">
        <w:rPr>
          <w:rFonts w:ascii="Times New Roman" w:eastAsiaTheme="minorHAnsi" w:hAnsi="Times New Roman" w:cs="Times New Roman"/>
          <w:sz w:val="24"/>
          <w:szCs w:val="24"/>
          <w:lang w:eastAsia="en-US"/>
        </w:rPr>
        <w:t>ing</w:t>
      </w:r>
      <w:r w:rsidR="00F85662" w:rsidRPr="00BA13EC">
        <w:rPr>
          <w:rFonts w:ascii="Times New Roman" w:eastAsiaTheme="minorHAnsi" w:hAnsi="Times New Roman" w:cs="Times New Roman"/>
          <w:sz w:val="24"/>
          <w:szCs w:val="24"/>
          <w:lang w:eastAsia="en-US"/>
        </w:rPr>
        <w:t xml:space="preserve"> and understand</w:t>
      </w:r>
      <w:r w:rsidR="008D0185" w:rsidRPr="00BA13EC">
        <w:rPr>
          <w:rFonts w:ascii="Times New Roman" w:eastAsiaTheme="minorHAnsi" w:hAnsi="Times New Roman" w:cs="Times New Roman"/>
          <w:sz w:val="24"/>
          <w:szCs w:val="24"/>
          <w:lang w:eastAsia="en-US"/>
        </w:rPr>
        <w:t>ing</w:t>
      </w:r>
      <w:r w:rsidR="00F85662" w:rsidRPr="00BA13EC">
        <w:rPr>
          <w:rFonts w:ascii="Times New Roman" w:eastAsiaTheme="minorHAnsi" w:hAnsi="Times New Roman" w:cs="Times New Roman"/>
          <w:sz w:val="24"/>
          <w:szCs w:val="24"/>
          <w:lang w:eastAsia="en-US"/>
        </w:rPr>
        <w:t xml:space="preserve"> dual modes of distinction within the field of higher education. The theory does not supplant Bourdieu’s </w:t>
      </w:r>
      <w:r w:rsidR="00F06FF9" w:rsidRPr="00BA13EC">
        <w:rPr>
          <w:rFonts w:ascii="Times New Roman" w:eastAsiaTheme="minorHAnsi" w:hAnsi="Times New Roman" w:cs="Times New Roman"/>
          <w:sz w:val="24"/>
          <w:szCs w:val="24"/>
          <w:lang w:eastAsia="en-US"/>
        </w:rPr>
        <w:t>(</w:t>
      </w:r>
      <w:r w:rsidR="00051355" w:rsidRPr="00BA13EC">
        <w:rPr>
          <w:rFonts w:ascii="Times New Roman" w:eastAsiaTheme="minorHAnsi" w:hAnsi="Times New Roman" w:cs="Times New Roman"/>
          <w:sz w:val="24"/>
          <w:szCs w:val="24"/>
          <w:lang w:eastAsia="en-US"/>
        </w:rPr>
        <w:t>1979/</w:t>
      </w:r>
      <w:r w:rsidR="00F06FF9" w:rsidRPr="00BA13EC">
        <w:rPr>
          <w:rFonts w:ascii="Times New Roman" w:eastAsiaTheme="minorHAnsi" w:hAnsi="Times New Roman" w:cs="Times New Roman"/>
          <w:sz w:val="24"/>
          <w:szCs w:val="24"/>
          <w:lang w:eastAsia="en-US"/>
        </w:rPr>
        <w:t xml:space="preserve">1984) </w:t>
      </w:r>
      <w:r w:rsidR="00F85662" w:rsidRPr="00BA13EC">
        <w:rPr>
          <w:rFonts w:ascii="Times New Roman" w:eastAsiaTheme="minorHAnsi" w:hAnsi="Times New Roman" w:cs="Times New Roman"/>
          <w:sz w:val="24"/>
          <w:szCs w:val="24"/>
          <w:lang w:eastAsia="en-US"/>
        </w:rPr>
        <w:t>analysis of distinction with respect to our question because Bernst</w:t>
      </w:r>
      <w:r w:rsidR="005757BC" w:rsidRPr="00BA13EC">
        <w:rPr>
          <w:rFonts w:ascii="Times New Roman" w:eastAsiaTheme="minorHAnsi" w:hAnsi="Times New Roman" w:cs="Times New Roman"/>
          <w:sz w:val="24"/>
          <w:szCs w:val="24"/>
          <w:lang w:eastAsia="en-US"/>
        </w:rPr>
        <w:t>ein’s analysis is of</w:t>
      </w:r>
      <w:r w:rsidR="00F85662" w:rsidRPr="00BA13EC">
        <w:rPr>
          <w:rFonts w:ascii="Times New Roman" w:eastAsiaTheme="minorHAnsi" w:hAnsi="Times New Roman" w:cs="Times New Roman"/>
          <w:sz w:val="24"/>
          <w:szCs w:val="24"/>
          <w:lang w:eastAsia="en-US"/>
        </w:rPr>
        <w:t xml:space="preserve"> the experience of students and teachers immersed in an institution of education. We are asking about the preferences of students, families, employers and policy makers who are regarding the higher education field as a play of representations of competing goods. </w:t>
      </w:r>
      <w:r w:rsidRPr="00BA13EC">
        <w:rPr>
          <w:rFonts w:ascii="Times New Roman" w:eastAsiaTheme="minorHAnsi" w:hAnsi="Times New Roman" w:cs="Times New Roman"/>
          <w:sz w:val="24"/>
          <w:szCs w:val="24"/>
          <w:lang w:eastAsia="en-US"/>
        </w:rPr>
        <w:t>They are on the periphe</w:t>
      </w:r>
      <w:r w:rsidR="00F06FF9" w:rsidRPr="00BA13EC">
        <w:rPr>
          <w:rFonts w:ascii="Times New Roman" w:eastAsiaTheme="minorHAnsi" w:hAnsi="Times New Roman" w:cs="Times New Roman"/>
          <w:sz w:val="24"/>
          <w:szCs w:val="24"/>
          <w:lang w:eastAsia="en-US"/>
        </w:rPr>
        <w:t>ry of higher education weighing up</w:t>
      </w:r>
      <w:r w:rsidRPr="00BA13EC">
        <w:rPr>
          <w:rFonts w:ascii="Times New Roman" w:eastAsiaTheme="minorHAnsi" w:hAnsi="Times New Roman" w:cs="Times New Roman"/>
          <w:sz w:val="24"/>
          <w:szCs w:val="24"/>
          <w:lang w:eastAsia="en-US"/>
        </w:rPr>
        <w:t xml:space="preserve"> what is </w:t>
      </w:r>
      <w:r w:rsidR="005757BC" w:rsidRPr="00BA13EC">
        <w:rPr>
          <w:rFonts w:ascii="Times New Roman" w:eastAsiaTheme="minorHAnsi" w:hAnsi="Times New Roman" w:cs="Times New Roman"/>
          <w:sz w:val="24"/>
          <w:szCs w:val="24"/>
          <w:lang w:eastAsia="en-US"/>
        </w:rPr>
        <w:t xml:space="preserve">of </w:t>
      </w:r>
      <w:r w:rsidRPr="00BA13EC">
        <w:rPr>
          <w:rFonts w:ascii="Times New Roman" w:eastAsiaTheme="minorHAnsi" w:hAnsi="Times New Roman" w:cs="Times New Roman"/>
          <w:sz w:val="24"/>
          <w:szCs w:val="24"/>
          <w:lang w:eastAsia="en-US"/>
        </w:rPr>
        <w:t xml:space="preserve">most value. </w:t>
      </w:r>
      <w:r w:rsidR="00F85662" w:rsidRPr="00BA13EC">
        <w:rPr>
          <w:rFonts w:ascii="Times New Roman" w:eastAsiaTheme="minorHAnsi" w:hAnsi="Times New Roman" w:cs="Times New Roman"/>
          <w:sz w:val="24"/>
          <w:szCs w:val="24"/>
          <w:lang w:eastAsia="en-US"/>
        </w:rPr>
        <w:t>The ‘message’</w:t>
      </w:r>
      <w:r w:rsidR="00F06FF9" w:rsidRPr="00BA13EC">
        <w:rPr>
          <w:rFonts w:ascii="Times New Roman" w:eastAsiaTheme="minorHAnsi" w:hAnsi="Times New Roman" w:cs="Times New Roman"/>
          <w:sz w:val="24"/>
          <w:szCs w:val="24"/>
          <w:lang w:eastAsia="en-US"/>
        </w:rPr>
        <w:t xml:space="preserve"> part of the message systems is</w:t>
      </w:r>
      <w:r w:rsidR="00F85662" w:rsidRPr="00BA13EC">
        <w:rPr>
          <w:rFonts w:ascii="Times New Roman" w:eastAsiaTheme="minorHAnsi" w:hAnsi="Times New Roman" w:cs="Times New Roman"/>
          <w:sz w:val="24"/>
          <w:szCs w:val="24"/>
          <w:lang w:eastAsia="en-US"/>
        </w:rPr>
        <w:t xml:space="preserve"> </w:t>
      </w:r>
      <w:r w:rsidR="00F85662" w:rsidRPr="00BA13EC">
        <w:rPr>
          <w:rFonts w:ascii="Times New Roman" w:eastAsiaTheme="minorHAnsi" w:hAnsi="Times New Roman" w:cs="Times New Roman"/>
          <w:sz w:val="24"/>
          <w:szCs w:val="24"/>
          <w:lang w:eastAsia="en-US"/>
        </w:rPr>
        <w:lastRenderedPageBreak/>
        <w:t xml:space="preserve">especially important here. As representations, </w:t>
      </w:r>
      <w:r w:rsidR="005757BC" w:rsidRPr="00BA13EC">
        <w:rPr>
          <w:rFonts w:ascii="Times New Roman" w:eastAsiaTheme="minorHAnsi" w:hAnsi="Times New Roman" w:cs="Times New Roman"/>
          <w:sz w:val="24"/>
          <w:szCs w:val="24"/>
          <w:lang w:eastAsia="en-US"/>
        </w:rPr>
        <w:t>they inform judgements with regard to previously cultivated knowledge of a valuable</w:t>
      </w:r>
      <w:r w:rsidRPr="00BA13EC">
        <w:rPr>
          <w:rFonts w:ascii="Times New Roman" w:eastAsiaTheme="minorHAnsi" w:hAnsi="Times New Roman" w:cs="Times New Roman"/>
          <w:sz w:val="24"/>
          <w:szCs w:val="24"/>
          <w:lang w:eastAsia="en-US"/>
        </w:rPr>
        <w:t xml:space="preserve"> object. We have show</w:t>
      </w:r>
      <w:r w:rsidR="00F06FF9" w:rsidRPr="00BA13EC">
        <w:rPr>
          <w:rFonts w:ascii="Times New Roman" w:eastAsiaTheme="minorHAnsi" w:hAnsi="Times New Roman" w:cs="Times New Roman"/>
          <w:sz w:val="24"/>
          <w:szCs w:val="24"/>
          <w:lang w:eastAsia="en-US"/>
        </w:rPr>
        <w:t>n that Bernstein’s theory traces how associations are</w:t>
      </w:r>
      <w:r w:rsidRPr="00BA13EC">
        <w:rPr>
          <w:rFonts w:ascii="Times New Roman" w:eastAsiaTheme="minorHAnsi" w:hAnsi="Times New Roman" w:cs="Times New Roman"/>
          <w:sz w:val="24"/>
          <w:szCs w:val="24"/>
          <w:lang w:eastAsia="en-US"/>
        </w:rPr>
        <w:t xml:space="preserve"> formed between messages about curriculum, pedagogy and assessment and underlying codes. The policy environment and the desires of students and families are attuned to the attractions of the integrated code. </w:t>
      </w:r>
      <w:r w:rsidR="005757BC" w:rsidRPr="00BA13EC">
        <w:rPr>
          <w:rFonts w:ascii="Times New Roman" w:eastAsiaTheme="minorHAnsi" w:hAnsi="Times New Roman" w:cs="Times New Roman"/>
          <w:sz w:val="24"/>
          <w:szCs w:val="24"/>
          <w:lang w:eastAsia="en-US"/>
        </w:rPr>
        <w:t>Bernstein indicates some of these attractions: the structure of higher</w:t>
      </w:r>
      <w:r w:rsidR="00F06FF9" w:rsidRPr="00BA13EC">
        <w:rPr>
          <w:rFonts w:ascii="Times New Roman" w:eastAsiaTheme="minorHAnsi" w:hAnsi="Times New Roman" w:cs="Times New Roman"/>
          <w:sz w:val="24"/>
          <w:szCs w:val="24"/>
          <w:lang w:eastAsia="en-US"/>
        </w:rPr>
        <w:t xml:space="preserve"> (and</w:t>
      </w:r>
      <w:r w:rsidR="005757BC" w:rsidRPr="00BA13EC">
        <w:rPr>
          <w:rFonts w:ascii="Times New Roman" w:eastAsiaTheme="minorHAnsi" w:hAnsi="Times New Roman" w:cs="Times New Roman"/>
          <w:sz w:val="24"/>
          <w:szCs w:val="24"/>
          <w:lang w:eastAsia="en-US"/>
        </w:rPr>
        <w:t xml:space="preserve"> valuable</w:t>
      </w:r>
      <w:r w:rsidR="00F06FF9" w:rsidRPr="00BA13EC">
        <w:rPr>
          <w:rFonts w:ascii="Times New Roman" w:eastAsiaTheme="minorHAnsi" w:hAnsi="Times New Roman" w:cs="Times New Roman"/>
          <w:sz w:val="24"/>
          <w:szCs w:val="24"/>
          <w:lang w:eastAsia="en-US"/>
        </w:rPr>
        <w:t>)</w:t>
      </w:r>
      <w:r w:rsidR="005757BC" w:rsidRPr="00BA13EC">
        <w:rPr>
          <w:rFonts w:ascii="Times New Roman" w:eastAsiaTheme="minorHAnsi" w:hAnsi="Times New Roman" w:cs="Times New Roman"/>
          <w:sz w:val="24"/>
          <w:szCs w:val="24"/>
          <w:lang w:eastAsia="en-US"/>
        </w:rPr>
        <w:t xml:space="preserve"> knowledge is changing, the nature of the job market is changing</w:t>
      </w:r>
      <w:r w:rsidR="00F06FF9" w:rsidRPr="00BA13EC">
        <w:rPr>
          <w:rFonts w:ascii="Times New Roman" w:eastAsiaTheme="minorHAnsi" w:hAnsi="Times New Roman" w:cs="Times New Roman"/>
          <w:sz w:val="24"/>
          <w:szCs w:val="24"/>
          <w:lang w:eastAsia="en-US"/>
        </w:rPr>
        <w:t>,</w:t>
      </w:r>
      <w:r w:rsidR="005757BC" w:rsidRPr="00BA13EC">
        <w:rPr>
          <w:rFonts w:ascii="Times New Roman" w:eastAsiaTheme="minorHAnsi" w:hAnsi="Times New Roman" w:cs="Times New Roman"/>
          <w:sz w:val="24"/>
          <w:szCs w:val="24"/>
          <w:lang w:eastAsia="en-US"/>
        </w:rPr>
        <w:t xml:space="preserve"> and the integrated code </w:t>
      </w:r>
      <w:r w:rsidR="00F06FF9" w:rsidRPr="00BA13EC">
        <w:rPr>
          <w:rFonts w:ascii="Times New Roman" w:eastAsiaTheme="minorHAnsi" w:hAnsi="Times New Roman" w:cs="Times New Roman"/>
          <w:sz w:val="24"/>
          <w:szCs w:val="24"/>
          <w:lang w:eastAsia="en-US"/>
        </w:rPr>
        <w:t>promises</w:t>
      </w:r>
      <w:r w:rsidR="005757BC" w:rsidRPr="00BA13EC">
        <w:rPr>
          <w:rFonts w:ascii="Times New Roman" w:eastAsiaTheme="minorHAnsi" w:hAnsi="Times New Roman" w:cs="Times New Roman"/>
          <w:sz w:val="24"/>
          <w:szCs w:val="24"/>
          <w:lang w:eastAsia="en-US"/>
        </w:rPr>
        <w:t xml:space="preserve"> an egalitarian education. </w:t>
      </w:r>
      <w:r w:rsidRPr="00BA13EC">
        <w:rPr>
          <w:rFonts w:ascii="Times New Roman" w:eastAsiaTheme="minorHAnsi" w:hAnsi="Times New Roman" w:cs="Times New Roman"/>
          <w:sz w:val="24"/>
          <w:szCs w:val="24"/>
          <w:lang w:eastAsia="en-US"/>
        </w:rPr>
        <w:t xml:space="preserve">TAFE degrees </w:t>
      </w:r>
      <w:r w:rsidR="005757BC" w:rsidRPr="00BA13EC">
        <w:rPr>
          <w:rFonts w:ascii="Times New Roman" w:eastAsiaTheme="minorHAnsi" w:hAnsi="Times New Roman" w:cs="Times New Roman"/>
          <w:sz w:val="24"/>
          <w:szCs w:val="24"/>
          <w:lang w:eastAsia="en-US"/>
        </w:rPr>
        <w:t xml:space="preserve">appear to </w:t>
      </w:r>
      <w:r w:rsidRPr="00BA13EC">
        <w:rPr>
          <w:rFonts w:ascii="Times New Roman" w:eastAsiaTheme="minorHAnsi" w:hAnsi="Times New Roman" w:cs="Times New Roman"/>
          <w:sz w:val="24"/>
          <w:szCs w:val="24"/>
          <w:lang w:eastAsia="en-US"/>
        </w:rPr>
        <w:t>emit messages that are congruent with this form of taste. In contrast, traditional higher education may symbolise the traditional social order</w:t>
      </w:r>
      <w:r w:rsidR="00F06FF9" w:rsidRPr="00BA13EC">
        <w:rPr>
          <w:rFonts w:ascii="Times New Roman" w:eastAsiaTheme="minorHAnsi" w:hAnsi="Times New Roman" w:cs="Times New Roman"/>
          <w:sz w:val="24"/>
          <w:szCs w:val="24"/>
          <w:lang w:eastAsia="en-US"/>
        </w:rPr>
        <w:t xml:space="preserve"> maintained through the collected code</w:t>
      </w:r>
      <w:r w:rsidRPr="00BA13EC">
        <w:rPr>
          <w:rFonts w:ascii="Times New Roman" w:eastAsiaTheme="minorHAnsi" w:hAnsi="Times New Roman" w:cs="Times New Roman"/>
          <w:sz w:val="24"/>
          <w:szCs w:val="24"/>
          <w:lang w:eastAsia="en-US"/>
        </w:rPr>
        <w:t xml:space="preserve">. The emergence of a new code introduces a substantially new ordering system that has implications for higher education as </w:t>
      </w:r>
      <w:r w:rsidR="00E844C6" w:rsidRPr="00BA13EC">
        <w:rPr>
          <w:rFonts w:ascii="Times New Roman" w:eastAsiaTheme="minorHAnsi" w:hAnsi="Times New Roman" w:cs="Times New Roman"/>
          <w:sz w:val="24"/>
          <w:szCs w:val="24"/>
          <w:lang w:eastAsia="en-US"/>
        </w:rPr>
        <w:t xml:space="preserve">well as the schooling sector. Our next step is to empirically investigate the message systems of new and traditional higher education providers </w:t>
      </w:r>
      <w:r w:rsidR="00F06FF9" w:rsidRPr="00BA13EC">
        <w:rPr>
          <w:rFonts w:ascii="Times New Roman" w:eastAsiaTheme="minorHAnsi" w:hAnsi="Times New Roman" w:cs="Times New Roman"/>
          <w:sz w:val="24"/>
          <w:szCs w:val="24"/>
          <w:lang w:eastAsia="en-US"/>
        </w:rPr>
        <w:t>to determine</w:t>
      </w:r>
      <w:r w:rsidR="00E844C6" w:rsidRPr="00BA13EC">
        <w:rPr>
          <w:rFonts w:ascii="Times New Roman" w:eastAsiaTheme="minorHAnsi" w:hAnsi="Times New Roman" w:cs="Times New Roman"/>
          <w:sz w:val="24"/>
          <w:szCs w:val="24"/>
          <w:lang w:eastAsia="en-US"/>
        </w:rPr>
        <w:t xml:space="preserve"> whether a new </w:t>
      </w:r>
      <w:r w:rsidR="00F06FF9" w:rsidRPr="00BA13EC">
        <w:rPr>
          <w:rFonts w:ascii="Times New Roman" w:eastAsiaTheme="minorHAnsi" w:hAnsi="Times New Roman" w:cs="Times New Roman"/>
          <w:sz w:val="24"/>
          <w:szCs w:val="24"/>
          <w:lang w:eastAsia="en-US"/>
        </w:rPr>
        <w:t>mode</w:t>
      </w:r>
      <w:r w:rsidR="00E844C6" w:rsidRPr="00BA13EC">
        <w:rPr>
          <w:rFonts w:ascii="Times New Roman" w:eastAsiaTheme="minorHAnsi" w:hAnsi="Times New Roman" w:cs="Times New Roman"/>
          <w:sz w:val="24"/>
          <w:szCs w:val="24"/>
          <w:lang w:eastAsia="en-US"/>
        </w:rPr>
        <w:t xml:space="preserve"> of distinction is regulating preferences in higher education.</w:t>
      </w:r>
    </w:p>
    <w:p w:rsidR="00E844C6" w:rsidRPr="00BA13EC" w:rsidRDefault="00E844C6" w:rsidP="000B2D7A">
      <w:pPr>
        <w:jc w:val="both"/>
        <w:rPr>
          <w:rFonts w:ascii="Times New Roman" w:eastAsiaTheme="minorHAnsi" w:hAnsi="Times New Roman" w:cs="Times New Roman"/>
          <w:b/>
          <w:sz w:val="24"/>
          <w:szCs w:val="24"/>
          <w:lang w:eastAsia="en-US"/>
        </w:rPr>
      </w:pPr>
      <w:r w:rsidRPr="00BA13EC">
        <w:rPr>
          <w:rFonts w:ascii="Times New Roman" w:eastAsiaTheme="minorHAnsi" w:hAnsi="Times New Roman" w:cs="Times New Roman"/>
          <w:b/>
          <w:sz w:val="24"/>
          <w:szCs w:val="24"/>
          <w:lang w:eastAsia="en-US"/>
        </w:rPr>
        <w:t>References</w:t>
      </w:r>
    </w:p>
    <w:p w:rsidR="00A85D8C" w:rsidRPr="00BA13EC" w:rsidRDefault="00A85D8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Atkinson, P. (1985). </w:t>
      </w:r>
      <w:r w:rsidRPr="00BA13EC">
        <w:rPr>
          <w:rFonts w:ascii="Times New Roman" w:eastAsiaTheme="minorHAnsi" w:hAnsi="Times New Roman" w:cs="Times New Roman"/>
          <w:i/>
          <w:sz w:val="24"/>
          <w:szCs w:val="24"/>
          <w:lang w:eastAsia="en-US"/>
        </w:rPr>
        <w:t>Language, structure and reproduction</w:t>
      </w:r>
      <w:r w:rsidRPr="00BA13EC">
        <w:rPr>
          <w:rFonts w:ascii="Times New Roman" w:eastAsiaTheme="minorHAnsi" w:hAnsi="Times New Roman" w:cs="Times New Roman"/>
          <w:sz w:val="24"/>
          <w:szCs w:val="24"/>
          <w:lang w:eastAsia="en-US"/>
        </w:rPr>
        <w:t>. London: Methuen &amp; Co. Ltd.</w:t>
      </w:r>
    </w:p>
    <w:p w:rsidR="00E844C6" w:rsidRPr="00BA13EC" w:rsidRDefault="00051355"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Bernstein, B. (1975). </w:t>
      </w:r>
      <w:r w:rsidRPr="00BA13EC">
        <w:rPr>
          <w:rFonts w:ascii="Times New Roman" w:eastAsiaTheme="minorHAnsi" w:hAnsi="Times New Roman" w:cs="Times New Roman"/>
          <w:i/>
          <w:sz w:val="24"/>
          <w:szCs w:val="24"/>
          <w:lang w:eastAsia="en-US"/>
        </w:rPr>
        <w:t>Class, codes and control. Volume 3: Towards a theory of educational transmissions</w:t>
      </w:r>
      <w:r w:rsidRPr="00BA13EC">
        <w:rPr>
          <w:rFonts w:ascii="Times New Roman" w:eastAsiaTheme="minorHAnsi" w:hAnsi="Times New Roman" w:cs="Times New Roman"/>
          <w:sz w:val="24"/>
          <w:szCs w:val="24"/>
          <w:lang w:eastAsia="en-US"/>
        </w:rPr>
        <w:t xml:space="preserve">. </w:t>
      </w:r>
      <w:r w:rsidR="00A85D8C" w:rsidRPr="00BA13EC">
        <w:rPr>
          <w:rFonts w:ascii="Times New Roman" w:eastAsiaTheme="minorHAnsi" w:hAnsi="Times New Roman" w:cs="Times New Roman"/>
          <w:sz w:val="24"/>
          <w:szCs w:val="24"/>
          <w:lang w:eastAsia="en-US"/>
        </w:rPr>
        <w:t>London: Routledge &amp; Kegan Paul.</w:t>
      </w:r>
    </w:p>
    <w:p w:rsidR="000B7727" w:rsidRPr="00BA13EC" w:rsidRDefault="000B7727" w:rsidP="000B2D7A">
      <w:pPr>
        <w:jc w:val="both"/>
        <w:rPr>
          <w:rFonts w:ascii="Times New Roman" w:hAnsi="Times New Roman" w:cs="Times New Roman"/>
          <w:sz w:val="24"/>
          <w:szCs w:val="24"/>
        </w:rPr>
      </w:pPr>
      <w:r w:rsidRPr="00BA13EC">
        <w:rPr>
          <w:rFonts w:ascii="Times New Roman" w:hAnsi="Times New Roman" w:cs="Times New Roman"/>
          <w:sz w:val="24"/>
          <w:szCs w:val="24"/>
        </w:rPr>
        <w:t xml:space="preserve">Bourdieu, P. (1979/1984). </w:t>
      </w:r>
      <w:r w:rsidRPr="00BA13EC">
        <w:rPr>
          <w:rFonts w:ascii="Times New Roman" w:hAnsi="Times New Roman" w:cs="Times New Roman"/>
          <w:i/>
          <w:sz w:val="24"/>
          <w:szCs w:val="24"/>
        </w:rPr>
        <w:t>Distinction. A social critique of the judgement of taste</w:t>
      </w:r>
      <w:r w:rsidRPr="00BA13EC">
        <w:rPr>
          <w:rFonts w:ascii="Times New Roman" w:hAnsi="Times New Roman" w:cs="Times New Roman"/>
          <w:sz w:val="24"/>
          <w:szCs w:val="24"/>
        </w:rPr>
        <w:t>. Cambridge, Massachusetts: Harvard University Press.</w:t>
      </w:r>
    </w:p>
    <w:p w:rsidR="000B7727" w:rsidRPr="00BA13EC" w:rsidRDefault="000B7727" w:rsidP="000B2D7A">
      <w:pPr>
        <w:jc w:val="both"/>
        <w:rPr>
          <w:rFonts w:ascii="Times New Roman" w:eastAsiaTheme="minorHAnsi" w:hAnsi="Times New Roman" w:cs="Times New Roman"/>
          <w:sz w:val="24"/>
          <w:szCs w:val="24"/>
          <w:lang w:eastAsia="en-US"/>
        </w:rPr>
      </w:pPr>
      <w:r w:rsidRPr="00BA13EC">
        <w:rPr>
          <w:rFonts w:ascii="Times New Roman" w:hAnsi="Times New Roman" w:cs="Times New Roman"/>
          <w:sz w:val="24"/>
          <w:szCs w:val="24"/>
        </w:rPr>
        <w:t xml:space="preserve">Bourdieu, P. &amp; Passeron, J-C. (1977/1991). </w:t>
      </w:r>
      <w:r w:rsidRPr="00BA13EC">
        <w:rPr>
          <w:rFonts w:ascii="Times New Roman" w:hAnsi="Times New Roman" w:cs="Times New Roman"/>
          <w:i/>
          <w:sz w:val="24"/>
          <w:szCs w:val="24"/>
        </w:rPr>
        <w:t>Reproduction in education, society and culture.</w:t>
      </w:r>
      <w:r w:rsidRPr="00BA13EC">
        <w:rPr>
          <w:rFonts w:ascii="Times New Roman" w:hAnsi="Times New Roman" w:cs="Times New Roman"/>
          <w:sz w:val="24"/>
          <w:szCs w:val="24"/>
        </w:rPr>
        <w:t xml:space="preserve"> London: Sage.</w:t>
      </w:r>
    </w:p>
    <w:p w:rsidR="00C750AE" w:rsidRPr="00BA13EC" w:rsidRDefault="009F53FA"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Department of Education and Training (2015). </w:t>
      </w:r>
      <w:r w:rsidRPr="00BA13EC">
        <w:rPr>
          <w:rFonts w:ascii="Times New Roman" w:eastAsiaTheme="minorHAnsi" w:hAnsi="Times New Roman" w:cs="Times New Roman"/>
          <w:i/>
          <w:sz w:val="24"/>
          <w:szCs w:val="24"/>
          <w:lang w:eastAsia="en-US"/>
        </w:rPr>
        <w:t>Higher education in Australia. A review of reviews from Dawkins to today</w:t>
      </w:r>
      <w:r w:rsidRPr="00BA13EC">
        <w:rPr>
          <w:rFonts w:ascii="Times New Roman" w:eastAsiaTheme="minorHAnsi" w:hAnsi="Times New Roman" w:cs="Times New Roman"/>
          <w:sz w:val="24"/>
          <w:szCs w:val="24"/>
          <w:lang w:eastAsia="en-US"/>
        </w:rPr>
        <w:t>. Canberra: Australian Government.</w:t>
      </w:r>
    </w:p>
    <w:p w:rsidR="00A85D8C" w:rsidRPr="00BA13EC" w:rsidRDefault="00A85D8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Gale, T., Hodge, S., Parker, S., Rawolle, S., Charlton, E., Rodd, P., Skourdoumbis, A. &amp; Molla, T. (2013) </w:t>
      </w:r>
      <w:r w:rsidRPr="00BA13EC">
        <w:rPr>
          <w:rFonts w:ascii="Times New Roman" w:eastAsiaTheme="minorHAnsi" w:hAnsi="Times New Roman" w:cs="Times New Roman"/>
          <w:i/>
          <w:sz w:val="24"/>
          <w:szCs w:val="24"/>
          <w:lang w:eastAsia="en-US"/>
        </w:rPr>
        <w:t>VET Providers, Associate and Bachelor Degrees, and Disadvantaged Learners. Report to the National VET Equity Advisory Council (NVEAC), Australia</w:t>
      </w:r>
      <w:r w:rsidRPr="00BA13EC">
        <w:rPr>
          <w:rFonts w:ascii="Times New Roman" w:eastAsiaTheme="minorHAnsi" w:hAnsi="Times New Roman" w:cs="Times New Roman"/>
          <w:sz w:val="24"/>
          <w:szCs w:val="24"/>
          <w:lang w:eastAsia="en-US"/>
        </w:rPr>
        <w:t xml:space="preserve">. Melbourne: Centre for Research in Education Futures and Innovation (CREFI), Deakin University. </w:t>
      </w:r>
    </w:p>
    <w:p w:rsidR="00D0186C" w:rsidRPr="00BA13EC" w:rsidRDefault="00D0186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Marginson, S. (2010). Higher education in the global knowledge economy. </w:t>
      </w:r>
      <w:r w:rsidRPr="00BA13EC">
        <w:rPr>
          <w:rFonts w:ascii="Times New Roman" w:eastAsiaTheme="minorHAnsi" w:hAnsi="Times New Roman" w:cs="Times New Roman"/>
          <w:i/>
          <w:sz w:val="24"/>
          <w:szCs w:val="24"/>
          <w:lang w:eastAsia="en-US"/>
        </w:rPr>
        <w:t>Procedia – Social and Behavioural Sciences, 2</w:t>
      </w:r>
      <w:r w:rsidRPr="00BA13EC">
        <w:rPr>
          <w:rFonts w:ascii="Times New Roman" w:eastAsiaTheme="minorHAnsi" w:hAnsi="Times New Roman" w:cs="Times New Roman"/>
          <w:sz w:val="24"/>
          <w:szCs w:val="24"/>
          <w:lang w:eastAsia="en-US"/>
        </w:rPr>
        <w:t>(5), pp. 6962-6980.</w:t>
      </w:r>
    </w:p>
    <w:p w:rsidR="00A85D8C" w:rsidRPr="00BA13EC" w:rsidRDefault="00A85D8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Robertson, I. (2009). Developments in pedagogic nomenclature in Australian vocational education: Evolution or revolution? </w:t>
      </w:r>
      <w:r w:rsidRPr="00BA13EC">
        <w:rPr>
          <w:rFonts w:ascii="Times New Roman" w:eastAsiaTheme="minorHAnsi" w:hAnsi="Times New Roman" w:cs="Times New Roman"/>
          <w:i/>
          <w:sz w:val="24"/>
          <w:szCs w:val="24"/>
          <w:lang w:eastAsia="en-US"/>
        </w:rPr>
        <w:t>International Journal of Training Research</w:t>
      </w:r>
      <w:r w:rsidRPr="00BA13EC">
        <w:rPr>
          <w:rFonts w:ascii="Times New Roman" w:eastAsiaTheme="minorHAnsi" w:hAnsi="Times New Roman" w:cs="Times New Roman"/>
          <w:sz w:val="24"/>
          <w:szCs w:val="24"/>
          <w:lang w:eastAsia="en-US"/>
        </w:rPr>
        <w:t xml:space="preserve">, </w:t>
      </w:r>
      <w:r w:rsidRPr="00BA13EC">
        <w:rPr>
          <w:rFonts w:ascii="Times New Roman" w:eastAsiaTheme="minorHAnsi" w:hAnsi="Times New Roman" w:cs="Times New Roman"/>
          <w:i/>
          <w:sz w:val="24"/>
          <w:szCs w:val="24"/>
          <w:lang w:eastAsia="en-US"/>
        </w:rPr>
        <w:t>7</w:t>
      </w:r>
      <w:r w:rsidRPr="00BA13EC">
        <w:rPr>
          <w:rFonts w:ascii="Times New Roman" w:eastAsiaTheme="minorHAnsi" w:hAnsi="Times New Roman" w:cs="Times New Roman"/>
          <w:sz w:val="24"/>
          <w:szCs w:val="24"/>
          <w:lang w:eastAsia="en-US"/>
        </w:rPr>
        <w:t>, pp. 106-121.</w:t>
      </w:r>
    </w:p>
    <w:p w:rsidR="00DD57DB" w:rsidRPr="00BA13EC" w:rsidRDefault="00D03C1B"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TAFE Directors Australia. (2016). Australian TAFE Higher Education Provider Network. Accessed 14/2/2016 &lt;</w:t>
      </w:r>
      <w:r w:rsidRPr="00BA13EC">
        <w:rPr>
          <w:rFonts w:ascii="Times New Roman" w:hAnsi="Times New Roman" w:cs="Times New Roman"/>
          <w:sz w:val="24"/>
          <w:szCs w:val="24"/>
        </w:rPr>
        <w:t xml:space="preserve"> </w:t>
      </w:r>
      <w:hyperlink r:id="rId8" w:history="1">
        <w:r w:rsidRPr="00BA13EC">
          <w:rPr>
            <w:rStyle w:val="Hyperlink"/>
            <w:rFonts w:ascii="Times New Roman" w:eastAsiaTheme="minorHAnsi" w:hAnsi="Times New Roman" w:cs="Times New Roman"/>
            <w:sz w:val="24"/>
            <w:szCs w:val="24"/>
            <w:lang w:eastAsia="en-US"/>
          </w:rPr>
          <w:t>http://www.tda.edu.au/cb_pages/australian_tafe_higher_education_provider_network.php</w:t>
        </w:r>
      </w:hyperlink>
      <w:r w:rsidRPr="00BA13EC">
        <w:rPr>
          <w:rFonts w:ascii="Times New Roman" w:eastAsiaTheme="minorHAnsi" w:hAnsi="Times New Roman" w:cs="Times New Roman"/>
          <w:sz w:val="24"/>
          <w:szCs w:val="24"/>
          <w:lang w:eastAsia="en-US"/>
        </w:rPr>
        <w:t xml:space="preserve">&gt; </w:t>
      </w:r>
    </w:p>
    <w:p w:rsidR="00D0186C" w:rsidRPr="00BA13EC" w:rsidRDefault="00CF4D72"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Trow, M (2006) Reflections on the Transition from Elite to Mass to Universal Access: Forms and Phases of HE in Modern Societies since WWII in Forest, J. &amp; Altbach,</w:t>
      </w:r>
      <w:r w:rsidR="000B2D7A" w:rsidRPr="00BA13EC">
        <w:rPr>
          <w:rFonts w:ascii="Times New Roman" w:eastAsiaTheme="minorHAnsi" w:hAnsi="Times New Roman" w:cs="Times New Roman"/>
          <w:sz w:val="24"/>
          <w:szCs w:val="24"/>
          <w:lang w:eastAsia="en-US"/>
        </w:rPr>
        <w:t xml:space="preserve"> </w:t>
      </w:r>
      <w:r w:rsidRPr="00BA13EC">
        <w:rPr>
          <w:rFonts w:ascii="Times New Roman" w:eastAsiaTheme="minorHAnsi" w:hAnsi="Times New Roman" w:cs="Times New Roman"/>
          <w:sz w:val="24"/>
          <w:szCs w:val="24"/>
          <w:lang w:eastAsia="en-US"/>
        </w:rPr>
        <w:t xml:space="preserve">P.G. (Eds.), </w:t>
      </w:r>
      <w:r w:rsidRPr="00BA13EC">
        <w:rPr>
          <w:rFonts w:ascii="Times New Roman" w:eastAsiaTheme="minorHAnsi" w:hAnsi="Times New Roman" w:cs="Times New Roman"/>
          <w:i/>
          <w:sz w:val="24"/>
          <w:szCs w:val="24"/>
          <w:lang w:eastAsia="en-US"/>
        </w:rPr>
        <w:t>International handbook of Higher Education</w:t>
      </w:r>
      <w:r w:rsidRPr="00BA13EC">
        <w:rPr>
          <w:rFonts w:ascii="Times New Roman" w:eastAsiaTheme="minorHAnsi" w:hAnsi="Times New Roman" w:cs="Times New Roman"/>
          <w:sz w:val="24"/>
          <w:szCs w:val="24"/>
          <w:lang w:eastAsia="en-US"/>
        </w:rPr>
        <w:t>. Dordrecht: Kluwer, 243-280</w:t>
      </w:r>
      <w:r w:rsidR="00D0186C" w:rsidRPr="00BA13EC">
        <w:rPr>
          <w:rFonts w:ascii="Times New Roman" w:eastAsiaTheme="minorHAnsi" w:hAnsi="Times New Roman" w:cs="Times New Roman"/>
          <w:sz w:val="24"/>
          <w:szCs w:val="24"/>
          <w:lang w:eastAsia="en-US"/>
        </w:rPr>
        <w:t>.</w:t>
      </w:r>
    </w:p>
    <w:p w:rsidR="00A85D8C" w:rsidRPr="00BA13EC" w:rsidRDefault="00A85D8C" w:rsidP="000B2D7A">
      <w:pPr>
        <w:jc w:val="both"/>
        <w:rPr>
          <w:rFonts w:ascii="Times New Roman" w:eastAsiaTheme="minorHAnsi" w:hAnsi="Times New Roman" w:cs="Times New Roman"/>
          <w:sz w:val="24"/>
          <w:szCs w:val="24"/>
          <w:lang w:eastAsia="en-US"/>
        </w:rPr>
      </w:pPr>
      <w:r w:rsidRPr="00BA13EC">
        <w:rPr>
          <w:rFonts w:ascii="Times New Roman" w:eastAsiaTheme="minorHAnsi" w:hAnsi="Times New Roman" w:cs="Times New Roman"/>
          <w:sz w:val="24"/>
          <w:szCs w:val="24"/>
          <w:lang w:eastAsia="en-US"/>
        </w:rPr>
        <w:t xml:space="preserve">Wheelahan, L. (2010). </w:t>
      </w:r>
      <w:r w:rsidRPr="00BA13EC">
        <w:rPr>
          <w:rFonts w:ascii="Times New Roman" w:eastAsiaTheme="minorHAnsi" w:hAnsi="Times New Roman" w:cs="Times New Roman"/>
          <w:i/>
          <w:sz w:val="24"/>
          <w:szCs w:val="24"/>
          <w:lang w:eastAsia="en-US"/>
        </w:rPr>
        <w:t>Why knowledge matters in curriculum. A social realist argument.</w:t>
      </w:r>
      <w:r w:rsidRPr="00BA13EC">
        <w:rPr>
          <w:rFonts w:ascii="Times New Roman" w:eastAsiaTheme="minorHAnsi" w:hAnsi="Times New Roman" w:cs="Times New Roman"/>
          <w:sz w:val="24"/>
          <w:szCs w:val="24"/>
          <w:lang w:eastAsia="en-US"/>
        </w:rPr>
        <w:t xml:space="preserve"> London: Routledge.</w:t>
      </w:r>
    </w:p>
    <w:p w:rsidR="00273D1E" w:rsidRPr="00BA13EC" w:rsidRDefault="00273D1E" w:rsidP="000B2D7A">
      <w:pPr>
        <w:jc w:val="both"/>
        <w:rPr>
          <w:rFonts w:ascii="Times New Roman" w:hAnsi="Times New Roman" w:cs="Times New Roman"/>
          <w:sz w:val="24"/>
          <w:szCs w:val="24"/>
        </w:rPr>
      </w:pPr>
    </w:p>
    <w:p w:rsidR="00273D1E" w:rsidRPr="00BA13EC" w:rsidRDefault="00273D1E" w:rsidP="000B2D7A">
      <w:pPr>
        <w:jc w:val="both"/>
        <w:rPr>
          <w:rFonts w:ascii="Times New Roman" w:hAnsi="Times New Roman" w:cs="Times New Roman"/>
          <w:sz w:val="24"/>
          <w:szCs w:val="24"/>
        </w:rPr>
      </w:pPr>
    </w:p>
    <w:p w:rsidR="00273D1E" w:rsidRPr="00BA13EC" w:rsidRDefault="00273D1E" w:rsidP="000B2D7A">
      <w:pPr>
        <w:jc w:val="both"/>
        <w:rPr>
          <w:rFonts w:ascii="Times New Roman" w:hAnsi="Times New Roman" w:cs="Times New Roman"/>
          <w:sz w:val="24"/>
          <w:szCs w:val="24"/>
        </w:rPr>
      </w:pPr>
    </w:p>
    <w:sectPr w:rsidR="00273D1E" w:rsidRPr="00BA13EC" w:rsidSect="00DE10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DB" w:rsidRDefault="00DD57DB" w:rsidP="0073553D">
      <w:pPr>
        <w:spacing w:after="0" w:line="240" w:lineRule="auto"/>
      </w:pPr>
      <w:r>
        <w:separator/>
      </w:r>
    </w:p>
  </w:endnote>
  <w:endnote w:type="continuationSeparator" w:id="0">
    <w:p w:rsidR="00DD57DB" w:rsidRDefault="00DD57DB" w:rsidP="0073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32547"/>
      <w:docPartObj>
        <w:docPartGallery w:val="Page Numbers (Bottom of Page)"/>
        <w:docPartUnique/>
      </w:docPartObj>
    </w:sdtPr>
    <w:sdtEndPr>
      <w:rPr>
        <w:rFonts w:ascii="Times New Roman" w:hAnsi="Times New Roman" w:cs="Times New Roman"/>
        <w:noProof/>
      </w:rPr>
    </w:sdtEndPr>
    <w:sdtContent>
      <w:p w:rsidR="00DD57DB" w:rsidRPr="000B2D7A" w:rsidRDefault="005101AF">
        <w:pPr>
          <w:pStyle w:val="Footer"/>
          <w:jc w:val="right"/>
          <w:rPr>
            <w:rFonts w:ascii="Times New Roman" w:hAnsi="Times New Roman" w:cs="Times New Roman"/>
          </w:rPr>
        </w:pPr>
        <w:r w:rsidRPr="000B2D7A">
          <w:rPr>
            <w:rFonts w:ascii="Times New Roman" w:hAnsi="Times New Roman" w:cs="Times New Roman"/>
          </w:rPr>
          <w:fldChar w:fldCharType="begin"/>
        </w:r>
        <w:r w:rsidR="00662565" w:rsidRPr="000B2D7A">
          <w:rPr>
            <w:rFonts w:ascii="Times New Roman" w:hAnsi="Times New Roman" w:cs="Times New Roman"/>
          </w:rPr>
          <w:instrText xml:space="preserve"> PAGE   \* MERGEFORMAT </w:instrText>
        </w:r>
        <w:r w:rsidRPr="000B2D7A">
          <w:rPr>
            <w:rFonts w:ascii="Times New Roman" w:hAnsi="Times New Roman" w:cs="Times New Roman"/>
          </w:rPr>
          <w:fldChar w:fldCharType="separate"/>
        </w:r>
        <w:r w:rsidR="00C4695D">
          <w:rPr>
            <w:rFonts w:ascii="Times New Roman" w:hAnsi="Times New Roman" w:cs="Times New Roman"/>
            <w:noProof/>
          </w:rPr>
          <w:t>2</w:t>
        </w:r>
        <w:r w:rsidRPr="000B2D7A">
          <w:rPr>
            <w:rFonts w:ascii="Times New Roman" w:hAnsi="Times New Roman" w:cs="Times New Roman"/>
            <w:noProof/>
          </w:rPr>
          <w:fldChar w:fldCharType="end"/>
        </w:r>
      </w:p>
    </w:sdtContent>
  </w:sdt>
  <w:p w:rsidR="00DD57DB" w:rsidRDefault="00DD5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DB" w:rsidRDefault="00DD57DB" w:rsidP="0073553D">
      <w:pPr>
        <w:spacing w:after="0" w:line="240" w:lineRule="auto"/>
      </w:pPr>
      <w:r>
        <w:separator/>
      </w:r>
    </w:p>
  </w:footnote>
  <w:footnote w:type="continuationSeparator" w:id="0">
    <w:p w:rsidR="00DD57DB" w:rsidRDefault="00DD57DB" w:rsidP="0073553D">
      <w:pPr>
        <w:spacing w:after="0" w:line="240" w:lineRule="auto"/>
      </w:pPr>
      <w:r>
        <w:continuationSeparator/>
      </w:r>
    </w:p>
  </w:footnote>
  <w:footnote w:id="1">
    <w:p w:rsidR="00945766" w:rsidRPr="00BA13EC" w:rsidRDefault="00945766" w:rsidP="00945766">
      <w:pPr>
        <w:pStyle w:val="FootnoteText"/>
        <w:rPr>
          <w:rFonts w:ascii="Times New Roman" w:hAnsi="Times New Roman" w:cs="Times New Roman"/>
        </w:rPr>
      </w:pPr>
      <w:r w:rsidRPr="00BA13EC">
        <w:rPr>
          <w:rStyle w:val="FootnoteReference"/>
          <w:rFonts w:ascii="Times New Roman" w:hAnsi="Times New Roman" w:cs="Times New Roman"/>
        </w:rPr>
        <w:footnoteRef/>
      </w:r>
      <w:r w:rsidRPr="00BA13EC">
        <w:rPr>
          <w:rFonts w:ascii="Times New Roman" w:hAnsi="Times New Roman" w:cs="Times New Roman"/>
        </w:rPr>
        <w:t xml:space="preserve"> This raises an interesting question in examples where the same named degree course is offered at universities and TAFEs, such as early childhood. This appears to lead to a contradiction in Government support of degree o</w:t>
      </w:r>
      <w:r w:rsidR="000B2D7A" w:rsidRPr="00BA13EC">
        <w:rPr>
          <w:rFonts w:ascii="Times New Roman" w:hAnsi="Times New Roman" w:cs="Times New Roman"/>
        </w:rPr>
        <w:t>fferings by both universities and</w:t>
      </w:r>
      <w:r w:rsidRPr="00BA13EC">
        <w:rPr>
          <w:rFonts w:ascii="Times New Roman" w:hAnsi="Times New Roman" w:cs="Times New Roman"/>
        </w:rPr>
        <w:t xml:space="preserve"> TAFEs, unless this is seen as a practical test of this taste. In this reading, the offering might be seen as a test of the rightness of fit between taste and the institutions offering the same degrees.</w:t>
      </w:r>
    </w:p>
  </w:footnote>
  <w:footnote w:id="2">
    <w:p w:rsidR="00945766" w:rsidRPr="00BA13EC" w:rsidRDefault="00945766" w:rsidP="00945766">
      <w:pPr>
        <w:pStyle w:val="FootnoteText"/>
        <w:rPr>
          <w:rFonts w:ascii="Times New Roman" w:hAnsi="Times New Roman" w:cs="Times New Roman"/>
        </w:rPr>
      </w:pPr>
      <w:r w:rsidRPr="00BA13EC">
        <w:rPr>
          <w:rStyle w:val="FootnoteReference"/>
          <w:rFonts w:ascii="Times New Roman" w:hAnsi="Times New Roman" w:cs="Times New Roman"/>
        </w:rPr>
        <w:footnoteRef/>
      </w:r>
      <w:r w:rsidRPr="00BA13EC">
        <w:rPr>
          <w:rFonts w:ascii="Times New Roman" w:hAnsi="Times New Roman" w:cs="Times New Roman"/>
        </w:rPr>
        <w:t xml:space="preserve"> See for example the successive reviews of teacher education, which have periodically intervened in the offerings of degree courses and shaped requirements for teacher education to a reduced list of three emphases. These interventions act as an external reorientation of academic and research priorities.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5B92"/>
    <w:multiLevelType w:val="hybridMultilevel"/>
    <w:tmpl w:val="8410FE74"/>
    <w:lvl w:ilvl="0" w:tplc="76DC3D8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4C4A00"/>
    <w:multiLevelType w:val="hybridMultilevel"/>
    <w:tmpl w:val="E2C4F99C"/>
    <w:lvl w:ilvl="0" w:tplc="76DC3D8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B00F33"/>
    <w:multiLevelType w:val="hybridMultilevel"/>
    <w:tmpl w:val="99780842"/>
    <w:lvl w:ilvl="0" w:tplc="76DC3D8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E13021"/>
    <w:multiLevelType w:val="hybridMultilevel"/>
    <w:tmpl w:val="25EA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59"/>
    <w:rsid w:val="000336E7"/>
    <w:rsid w:val="00051355"/>
    <w:rsid w:val="00082178"/>
    <w:rsid w:val="00086560"/>
    <w:rsid w:val="00095A05"/>
    <w:rsid w:val="000B2D7A"/>
    <w:rsid w:val="000B7727"/>
    <w:rsid w:val="000E03C9"/>
    <w:rsid w:val="000F6CBA"/>
    <w:rsid w:val="00100E75"/>
    <w:rsid w:val="0011343C"/>
    <w:rsid w:val="001369AA"/>
    <w:rsid w:val="00142138"/>
    <w:rsid w:val="00146986"/>
    <w:rsid w:val="00190127"/>
    <w:rsid w:val="001937A0"/>
    <w:rsid w:val="001E3C23"/>
    <w:rsid w:val="001E425C"/>
    <w:rsid w:val="00202A60"/>
    <w:rsid w:val="00203FE0"/>
    <w:rsid w:val="002062AC"/>
    <w:rsid w:val="00206D41"/>
    <w:rsid w:val="00230AC2"/>
    <w:rsid w:val="00257219"/>
    <w:rsid w:val="00261D90"/>
    <w:rsid w:val="00273D1E"/>
    <w:rsid w:val="00274DC8"/>
    <w:rsid w:val="00281607"/>
    <w:rsid w:val="00281E38"/>
    <w:rsid w:val="002915F2"/>
    <w:rsid w:val="00295C56"/>
    <w:rsid w:val="002A045B"/>
    <w:rsid w:val="002C437B"/>
    <w:rsid w:val="002D46DE"/>
    <w:rsid w:val="002F2FB9"/>
    <w:rsid w:val="002F3986"/>
    <w:rsid w:val="00336A74"/>
    <w:rsid w:val="0035782B"/>
    <w:rsid w:val="003623FE"/>
    <w:rsid w:val="003A57AB"/>
    <w:rsid w:val="003C2A97"/>
    <w:rsid w:val="003C6639"/>
    <w:rsid w:val="003D6329"/>
    <w:rsid w:val="003E002C"/>
    <w:rsid w:val="003E11D2"/>
    <w:rsid w:val="003E1A6F"/>
    <w:rsid w:val="003E4739"/>
    <w:rsid w:val="003E4CDE"/>
    <w:rsid w:val="003F10B3"/>
    <w:rsid w:val="003F37BB"/>
    <w:rsid w:val="00405A72"/>
    <w:rsid w:val="00421AC3"/>
    <w:rsid w:val="0043756D"/>
    <w:rsid w:val="004552F6"/>
    <w:rsid w:val="004645ED"/>
    <w:rsid w:val="004649E8"/>
    <w:rsid w:val="004740BB"/>
    <w:rsid w:val="004927F6"/>
    <w:rsid w:val="004A32FC"/>
    <w:rsid w:val="004C612C"/>
    <w:rsid w:val="004D2098"/>
    <w:rsid w:val="004F6DC2"/>
    <w:rsid w:val="00507E7A"/>
    <w:rsid w:val="005101AF"/>
    <w:rsid w:val="00513A79"/>
    <w:rsid w:val="0053412F"/>
    <w:rsid w:val="005366AC"/>
    <w:rsid w:val="005450BE"/>
    <w:rsid w:val="0056396C"/>
    <w:rsid w:val="005757BC"/>
    <w:rsid w:val="005909E7"/>
    <w:rsid w:val="005A4B91"/>
    <w:rsid w:val="005A6CE4"/>
    <w:rsid w:val="005A7715"/>
    <w:rsid w:val="005D0E05"/>
    <w:rsid w:val="005F775D"/>
    <w:rsid w:val="00610E95"/>
    <w:rsid w:val="00631DA6"/>
    <w:rsid w:val="006344A8"/>
    <w:rsid w:val="00662565"/>
    <w:rsid w:val="006632EE"/>
    <w:rsid w:val="00671D47"/>
    <w:rsid w:val="00674D6A"/>
    <w:rsid w:val="00674E22"/>
    <w:rsid w:val="006862AF"/>
    <w:rsid w:val="006C598B"/>
    <w:rsid w:val="006C7F2C"/>
    <w:rsid w:val="00703694"/>
    <w:rsid w:val="00715417"/>
    <w:rsid w:val="007178E9"/>
    <w:rsid w:val="0073553D"/>
    <w:rsid w:val="00741DC4"/>
    <w:rsid w:val="007424A9"/>
    <w:rsid w:val="00772202"/>
    <w:rsid w:val="00774059"/>
    <w:rsid w:val="00784A59"/>
    <w:rsid w:val="007A0A5B"/>
    <w:rsid w:val="007A77D8"/>
    <w:rsid w:val="007B21B5"/>
    <w:rsid w:val="007B3455"/>
    <w:rsid w:val="007B3CA8"/>
    <w:rsid w:val="007C33CC"/>
    <w:rsid w:val="007D4076"/>
    <w:rsid w:val="008228A3"/>
    <w:rsid w:val="00875FE1"/>
    <w:rsid w:val="008B0996"/>
    <w:rsid w:val="008B44EB"/>
    <w:rsid w:val="008D0185"/>
    <w:rsid w:val="008F3401"/>
    <w:rsid w:val="0093475E"/>
    <w:rsid w:val="00945766"/>
    <w:rsid w:val="00964D76"/>
    <w:rsid w:val="00970A56"/>
    <w:rsid w:val="00974106"/>
    <w:rsid w:val="009B133E"/>
    <w:rsid w:val="009B2720"/>
    <w:rsid w:val="009B35F3"/>
    <w:rsid w:val="009B7398"/>
    <w:rsid w:val="009F53FA"/>
    <w:rsid w:val="00A114D6"/>
    <w:rsid w:val="00A560EC"/>
    <w:rsid w:val="00A61EF5"/>
    <w:rsid w:val="00A85D8C"/>
    <w:rsid w:val="00A9225E"/>
    <w:rsid w:val="00A93902"/>
    <w:rsid w:val="00A9411D"/>
    <w:rsid w:val="00A954E0"/>
    <w:rsid w:val="00A97EB3"/>
    <w:rsid w:val="00B16505"/>
    <w:rsid w:val="00B57173"/>
    <w:rsid w:val="00B63F43"/>
    <w:rsid w:val="00B73CBF"/>
    <w:rsid w:val="00B84CC8"/>
    <w:rsid w:val="00B97935"/>
    <w:rsid w:val="00BA13EC"/>
    <w:rsid w:val="00BA2068"/>
    <w:rsid w:val="00BB5595"/>
    <w:rsid w:val="00BD09A7"/>
    <w:rsid w:val="00BD5C98"/>
    <w:rsid w:val="00BE2DD3"/>
    <w:rsid w:val="00C04A25"/>
    <w:rsid w:val="00C140FB"/>
    <w:rsid w:val="00C202CD"/>
    <w:rsid w:val="00C36CDC"/>
    <w:rsid w:val="00C4695D"/>
    <w:rsid w:val="00C6787A"/>
    <w:rsid w:val="00C750AE"/>
    <w:rsid w:val="00C759D6"/>
    <w:rsid w:val="00C76FCA"/>
    <w:rsid w:val="00CB5C0D"/>
    <w:rsid w:val="00CC1A61"/>
    <w:rsid w:val="00CC6F8C"/>
    <w:rsid w:val="00CD473F"/>
    <w:rsid w:val="00CD7B8E"/>
    <w:rsid w:val="00CE511E"/>
    <w:rsid w:val="00CF4D72"/>
    <w:rsid w:val="00CF6773"/>
    <w:rsid w:val="00D0186C"/>
    <w:rsid w:val="00D03C1B"/>
    <w:rsid w:val="00D1257B"/>
    <w:rsid w:val="00D13559"/>
    <w:rsid w:val="00D16814"/>
    <w:rsid w:val="00D22C1E"/>
    <w:rsid w:val="00D27AA2"/>
    <w:rsid w:val="00D44C9E"/>
    <w:rsid w:val="00D47D68"/>
    <w:rsid w:val="00D74F32"/>
    <w:rsid w:val="00D86EBC"/>
    <w:rsid w:val="00D90E26"/>
    <w:rsid w:val="00DA512C"/>
    <w:rsid w:val="00DA6C64"/>
    <w:rsid w:val="00DB3BCE"/>
    <w:rsid w:val="00DD5104"/>
    <w:rsid w:val="00DD516B"/>
    <w:rsid w:val="00DD57DB"/>
    <w:rsid w:val="00DE1005"/>
    <w:rsid w:val="00DE2A5C"/>
    <w:rsid w:val="00E01D4C"/>
    <w:rsid w:val="00E12E61"/>
    <w:rsid w:val="00E155B4"/>
    <w:rsid w:val="00E23685"/>
    <w:rsid w:val="00E33FD2"/>
    <w:rsid w:val="00E668C5"/>
    <w:rsid w:val="00E844C6"/>
    <w:rsid w:val="00EB7D31"/>
    <w:rsid w:val="00ED01C5"/>
    <w:rsid w:val="00EE2D00"/>
    <w:rsid w:val="00EF2F34"/>
    <w:rsid w:val="00F039B8"/>
    <w:rsid w:val="00F06FF9"/>
    <w:rsid w:val="00F21865"/>
    <w:rsid w:val="00F33A34"/>
    <w:rsid w:val="00F35BD1"/>
    <w:rsid w:val="00F67DE0"/>
    <w:rsid w:val="00F75FAB"/>
    <w:rsid w:val="00F83A7F"/>
    <w:rsid w:val="00F85662"/>
    <w:rsid w:val="00F91E9D"/>
    <w:rsid w:val="00FA7574"/>
    <w:rsid w:val="00FC0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F7023-AEAF-42D6-9BCC-51252FFA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E7"/>
    <w:pPr>
      <w:ind w:left="720"/>
      <w:contextualSpacing/>
    </w:pPr>
  </w:style>
  <w:style w:type="paragraph" w:styleId="BalloonText">
    <w:name w:val="Balloon Text"/>
    <w:basedOn w:val="Normal"/>
    <w:link w:val="BalloonTextChar"/>
    <w:uiPriority w:val="99"/>
    <w:semiHidden/>
    <w:unhideWhenUsed/>
    <w:rsid w:val="009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20"/>
    <w:rPr>
      <w:rFonts w:ascii="Tahoma" w:hAnsi="Tahoma" w:cs="Tahoma"/>
      <w:sz w:val="16"/>
      <w:szCs w:val="16"/>
    </w:rPr>
  </w:style>
  <w:style w:type="paragraph" w:styleId="Header">
    <w:name w:val="header"/>
    <w:basedOn w:val="Normal"/>
    <w:link w:val="HeaderChar"/>
    <w:uiPriority w:val="99"/>
    <w:unhideWhenUsed/>
    <w:rsid w:val="00735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3D"/>
  </w:style>
  <w:style w:type="paragraph" w:styleId="Footer">
    <w:name w:val="footer"/>
    <w:basedOn w:val="Normal"/>
    <w:link w:val="FooterChar"/>
    <w:uiPriority w:val="99"/>
    <w:unhideWhenUsed/>
    <w:rsid w:val="00735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3D"/>
  </w:style>
  <w:style w:type="character" w:styleId="CommentReference">
    <w:name w:val="annotation reference"/>
    <w:basedOn w:val="DefaultParagraphFont"/>
    <w:uiPriority w:val="99"/>
    <w:semiHidden/>
    <w:unhideWhenUsed/>
    <w:rsid w:val="006C7F2C"/>
    <w:rPr>
      <w:sz w:val="16"/>
      <w:szCs w:val="16"/>
    </w:rPr>
  </w:style>
  <w:style w:type="paragraph" w:styleId="CommentText">
    <w:name w:val="annotation text"/>
    <w:basedOn w:val="Normal"/>
    <w:link w:val="CommentTextChar"/>
    <w:uiPriority w:val="99"/>
    <w:semiHidden/>
    <w:unhideWhenUsed/>
    <w:rsid w:val="006C7F2C"/>
    <w:pPr>
      <w:spacing w:line="240" w:lineRule="auto"/>
    </w:pPr>
    <w:rPr>
      <w:sz w:val="20"/>
      <w:szCs w:val="20"/>
    </w:rPr>
  </w:style>
  <w:style w:type="character" w:customStyle="1" w:styleId="CommentTextChar">
    <w:name w:val="Comment Text Char"/>
    <w:basedOn w:val="DefaultParagraphFont"/>
    <w:link w:val="CommentText"/>
    <w:uiPriority w:val="99"/>
    <w:semiHidden/>
    <w:rsid w:val="006C7F2C"/>
    <w:rPr>
      <w:sz w:val="20"/>
      <w:szCs w:val="20"/>
    </w:rPr>
  </w:style>
  <w:style w:type="paragraph" w:styleId="CommentSubject">
    <w:name w:val="annotation subject"/>
    <w:basedOn w:val="CommentText"/>
    <w:next w:val="CommentText"/>
    <w:link w:val="CommentSubjectChar"/>
    <w:uiPriority w:val="99"/>
    <w:semiHidden/>
    <w:unhideWhenUsed/>
    <w:rsid w:val="006C7F2C"/>
    <w:rPr>
      <w:b/>
      <w:bCs/>
    </w:rPr>
  </w:style>
  <w:style w:type="character" w:customStyle="1" w:styleId="CommentSubjectChar">
    <w:name w:val="Comment Subject Char"/>
    <w:basedOn w:val="CommentTextChar"/>
    <w:link w:val="CommentSubject"/>
    <w:uiPriority w:val="99"/>
    <w:semiHidden/>
    <w:rsid w:val="006C7F2C"/>
    <w:rPr>
      <w:b/>
      <w:bCs/>
      <w:sz w:val="20"/>
      <w:szCs w:val="20"/>
    </w:rPr>
  </w:style>
  <w:style w:type="character" w:styleId="Hyperlink">
    <w:name w:val="Hyperlink"/>
    <w:basedOn w:val="DefaultParagraphFont"/>
    <w:uiPriority w:val="99"/>
    <w:unhideWhenUsed/>
    <w:rsid w:val="00D03C1B"/>
    <w:rPr>
      <w:color w:val="0000FF" w:themeColor="hyperlink"/>
      <w:u w:val="single"/>
    </w:rPr>
  </w:style>
  <w:style w:type="paragraph" w:styleId="FootnoteText">
    <w:name w:val="footnote text"/>
    <w:basedOn w:val="Normal"/>
    <w:link w:val="FootnoteTextChar"/>
    <w:uiPriority w:val="99"/>
    <w:semiHidden/>
    <w:unhideWhenUsed/>
    <w:rsid w:val="00945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766"/>
    <w:rPr>
      <w:sz w:val="20"/>
      <w:szCs w:val="20"/>
    </w:rPr>
  </w:style>
  <w:style w:type="character" w:styleId="FootnoteReference">
    <w:name w:val="footnote reference"/>
    <w:basedOn w:val="DefaultParagraphFont"/>
    <w:uiPriority w:val="99"/>
    <w:semiHidden/>
    <w:unhideWhenUsed/>
    <w:rsid w:val="00945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a.edu.au/cb_pages/australian_tafe_higher_education_provider_network.ph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01E8A-42CF-4291-B36E-898EE40D6291}"/>
</file>

<file path=customXml/itemProps2.xml><?xml version="1.0" encoding="utf-8"?>
<ds:datastoreItem xmlns:ds="http://schemas.openxmlformats.org/officeDocument/2006/customXml" ds:itemID="{187E073F-7514-4110-B40C-CBBAE25A7B52}"/>
</file>

<file path=customXml/itemProps3.xml><?xml version="1.0" encoding="utf-8"?>
<ds:datastoreItem xmlns:ds="http://schemas.openxmlformats.org/officeDocument/2006/customXml" ds:itemID="{445D7F0F-9FC2-4CEB-8067-21BB9A823859}"/>
</file>

<file path=docProps/app.xml><?xml version="1.0" encoding="utf-8"?>
<Properties xmlns="http://schemas.openxmlformats.org/officeDocument/2006/extended-properties" xmlns:vt="http://schemas.openxmlformats.org/officeDocument/2006/docPropsVTypes">
  <Template>Normal</Template>
  <TotalTime>0</TotalTime>
  <Pages>12</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Hodge</dc:creator>
  <cp:lastModifiedBy>Megan Ogier</cp:lastModifiedBy>
  <cp:revision>2</cp:revision>
  <cp:lastPrinted>2016-01-11T05:00:00Z</cp:lastPrinted>
  <dcterms:created xsi:type="dcterms:W3CDTF">2016-11-21T22:02:00Z</dcterms:created>
  <dcterms:modified xsi:type="dcterms:W3CDTF">2016-11-21T22:02:00Z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